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A0237" w14:textId="58A8DBBE" w:rsidR="00FF2050" w:rsidRPr="0009107C" w:rsidRDefault="00FF2050" w:rsidP="00DA38E7">
      <w:pPr>
        <w:pStyle w:val="Heading1"/>
        <w:jc w:val="center"/>
        <w:rPr>
          <w:rFonts w:asciiTheme="minorHAnsi" w:hAnsiTheme="minorHAnsi" w:cstheme="minorHAnsi"/>
          <w:b/>
          <w:bCs/>
          <w:color w:val="auto"/>
          <w:sz w:val="28"/>
          <w:szCs w:val="28"/>
        </w:rPr>
      </w:pPr>
      <w:r w:rsidRPr="0009107C">
        <w:rPr>
          <w:rFonts w:asciiTheme="minorHAnsi" w:hAnsiTheme="minorHAnsi" w:cstheme="minorHAnsi"/>
          <w:b/>
          <w:bCs/>
          <w:color w:val="auto"/>
          <w:sz w:val="28"/>
          <w:szCs w:val="28"/>
        </w:rPr>
        <w:t>U</w:t>
      </w:r>
      <w:r w:rsidR="00AE19D7">
        <w:rPr>
          <w:rFonts w:asciiTheme="minorHAnsi" w:hAnsiTheme="minorHAnsi" w:cstheme="minorHAnsi"/>
          <w:b/>
          <w:bCs/>
          <w:color w:val="auto"/>
          <w:sz w:val="28"/>
          <w:szCs w:val="28"/>
        </w:rPr>
        <w:t xml:space="preserve">nited </w:t>
      </w:r>
      <w:r w:rsidRPr="0009107C">
        <w:rPr>
          <w:rFonts w:asciiTheme="minorHAnsi" w:hAnsiTheme="minorHAnsi" w:cstheme="minorHAnsi"/>
          <w:b/>
          <w:bCs/>
          <w:color w:val="auto"/>
          <w:sz w:val="28"/>
          <w:szCs w:val="28"/>
        </w:rPr>
        <w:t>N</w:t>
      </w:r>
      <w:r w:rsidR="00AE19D7">
        <w:rPr>
          <w:rFonts w:asciiTheme="minorHAnsi" w:hAnsiTheme="minorHAnsi" w:cstheme="minorHAnsi"/>
          <w:b/>
          <w:bCs/>
          <w:color w:val="auto"/>
          <w:sz w:val="28"/>
          <w:szCs w:val="28"/>
        </w:rPr>
        <w:t>ations</w:t>
      </w:r>
      <w:r w:rsidRPr="0009107C">
        <w:rPr>
          <w:rFonts w:asciiTheme="minorHAnsi" w:hAnsiTheme="minorHAnsi" w:cstheme="minorHAnsi"/>
          <w:b/>
          <w:bCs/>
          <w:color w:val="auto"/>
          <w:sz w:val="28"/>
          <w:szCs w:val="28"/>
        </w:rPr>
        <w:t xml:space="preserve"> Day Lecture – 2019</w:t>
      </w:r>
    </w:p>
    <w:p w14:paraId="35CB8D9A" w14:textId="76A6A6FA" w:rsidR="00A7363C" w:rsidRPr="0009107C" w:rsidRDefault="00FF2050" w:rsidP="00DA38E7">
      <w:pPr>
        <w:pStyle w:val="Heading2"/>
        <w:jc w:val="center"/>
        <w:rPr>
          <w:rFonts w:asciiTheme="minorHAnsi" w:hAnsiTheme="minorHAnsi" w:cstheme="minorHAnsi"/>
          <w:b/>
          <w:bCs/>
          <w:color w:val="auto"/>
          <w:sz w:val="28"/>
          <w:szCs w:val="28"/>
        </w:rPr>
      </w:pPr>
      <w:r w:rsidRPr="0009107C">
        <w:rPr>
          <w:rFonts w:asciiTheme="minorHAnsi" w:hAnsiTheme="minorHAnsi" w:cstheme="minorHAnsi"/>
          <w:b/>
          <w:bCs/>
          <w:color w:val="auto"/>
          <w:sz w:val="28"/>
          <w:szCs w:val="28"/>
        </w:rPr>
        <w:t>25 Years of Cross-Border Insolvency Law Reform 1994- 2019</w:t>
      </w:r>
    </w:p>
    <w:p w14:paraId="6A3B24D9" w14:textId="11C0828D" w:rsidR="000E11D6" w:rsidRPr="0009107C" w:rsidRDefault="00FF2050" w:rsidP="00DA38E7">
      <w:pPr>
        <w:pStyle w:val="Heading2"/>
        <w:jc w:val="center"/>
        <w:rPr>
          <w:rFonts w:asciiTheme="minorHAnsi" w:hAnsiTheme="minorHAnsi" w:cstheme="minorHAnsi"/>
          <w:b/>
          <w:bCs/>
          <w:color w:val="auto"/>
          <w:sz w:val="28"/>
          <w:szCs w:val="28"/>
        </w:rPr>
      </w:pPr>
      <w:r w:rsidRPr="0009107C">
        <w:rPr>
          <w:rFonts w:asciiTheme="minorHAnsi" w:hAnsiTheme="minorHAnsi" w:cstheme="minorHAnsi"/>
          <w:b/>
          <w:bCs/>
          <w:color w:val="auto"/>
          <w:sz w:val="28"/>
          <w:szCs w:val="28"/>
        </w:rPr>
        <w:t>Rosalind Mason</w:t>
      </w:r>
      <w:r w:rsidRPr="0009107C">
        <w:rPr>
          <w:rFonts w:asciiTheme="minorHAnsi" w:hAnsiTheme="minorHAnsi" w:cstheme="minorHAnsi"/>
          <w:b/>
          <w:bCs/>
          <w:color w:val="auto"/>
          <w:sz w:val="28"/>
          <w:szCs w:val="28"/>
        </w:rPr>
        <w:br/>
        <w:t>Adjunct Professor, Queensland University of Technology</w:t>
      </w:r>
      <w:r w:rsidR="000E11D6" w:rsidRPr="0009107C">
        <w:rPr>
          <w:rStyle w:val="FootnoteReference"/>
          <w:rFonts w:asciiTheme="minorHAnsi" w:hAnsiTheme="minorHAnsi" w:cstheme="minorHAnsi"/>
          <w:b/>
          <w:bCs/>
          <w:color w:val="auto"/>
          <w:sz w:val="28"/>
          <w:szCs w:val="28"/>
        </w:rPr>
        <w:footnoteReference w:id="1"/>
      </w:r>
    </w:p>
    <w:p w14:paraId="21D3B14F" w14:textId="77777777" w:rsidR="000E11D6" w:rsidRPr="00691688" w:rsidRDefault="000E11D6" w:rsidP="00DA38E7">
      <w:pPr>
        <w:rPr>
          <w:rFonts w:cstheme="minorHAnsi"/>
        </w:rPr>
      </w:pPr>
    </w:p>
    <w:p w14:paraId="2193D0D7" w14:textId="4D988B08" w:rsidR="000E11D6" w:rsidRPr="00691688" w:rsidRDefault="000E11D6" w:rsidP="00B66A84">
      <w:pPr>
        <w:pStyle w:val="Heading3"/>
        <w:numPr>
          <w:ilvl w:val="0"/>
          <w:numId w:val="24"/>
        </w:numPr>
        <w:rPr>
          <w:rFonts w:asciiTheme="minorHAnsi" w:hAnsiTheme="minorHAnsi" w:cstheme="minorHAnsi"/>
          <w:b/>
          <w:bCs/>
          <w:color w:val="auto"/>
          <w:sz w:val="22"/>
          <w:szCs w:val="22"/>
        </w:rPr>
      </w:pPr>
      <w:r w:rsidRPr="00691688">
        <w:rPr>
          <w:rFonts w:asciiTheme="minorHAnsi" w:hAnsiTheme="minorHAnsi" w:cstheme="minorHAnsi"/>
          <w:b/>
          <w:bCs/>
          <w:color w:val="auto"/>
          <w:sz w:val="22"/>
          <w:szCs w:val="22"/>
        </w:rPr>
        <w:t xml:space="preserve">Introduction </w:t>
      </w:r>
    </w:p>
    <w:p w14:paraId="057A099D" w14:textId="45D10970" w:rsidR="000E11D6" w:rsidRPr="00691688" w:rsidRDefault="000E11D6" w:rsidP="001338C1">
      <w:pPr>
        <w:rPr>
          <w:rFonts w:cstheme="minorHAnsi"/>
          <w:lang w:eastAsia="en-AU"/>
        </w:rPr>
      </w:pPr>
      <w:r w:rsidRPr="00691688">
        <w:rPr>
          <w:rFonts w:cstheme="minorHAnsi"/>
          <w:lang w:eastAsia="en-AU"/>
        </w:rPr>
        <w:t>Your Honour, ladies and gentlemen, it</w:t>
      </w:r>
      <w:r w:rsidRPr="00691688">
        <w:rPr>
          <w:rFonts w:cstheme="minorHAnsi"/>
        </w:rPr>
        <w:t xml:space="preserve"> i</w:t>
      </w:r>
      <w:r w:rsidRPr="00691688">
        <w:rPr>
          <w:rFonts w:cstheme="minorHAnsi"/>
          <w:lang w:eastAsia="en-AU"/>
        </w:rPr>
        <w:t xml:space="preserve">s a privilege to </w:t>
      </w:r>
      <w:r w:rsidRPr="00691688">
        <w:rPr>
          <w:rFonts w:cstheme="minorHAnsi"/>
        </w:rPr>
        <w:t xml:space="preserve">present the 2020 Brisbane lecture </w:t>
      </w:r>
      <w:r w:rsidRPr="00691688">
        <w:rPr>
          <w:rFonts w:cstheme="minorHAnsi"/>
          <w:lang w:eastAsia="en-AU"/>
        </w:rPr>
        <w:t xml:space="preserve">in the United Nations Day Lecture Series. </w:t>
      </w:r>
      <w:r w:rsidRPr="00691688">
        <w:rPr>
          <w:rFonts w:cstheme="minorHAnsi"/>
        </w:rPr>
        <w:t xml:space="preserve"> </w:t>
      </w:r>
      <w:r w:rsidRPr="00691688">
        <w:rPr>
          <w:rFonts w:cstheme="minorHAnsi"/>
          <w:lang w:eastAsia="en-AU"/>
        </w:rPr>
        <w:t xml:space="preserve">This series is an annual initiative of </w:t>
      </w:r>
      <w:r w:rsidRPr="00691688">
        <w:rPr>
          <w:rFonts w:cstheme="minorHAnsi"/>
          <w:i/>
          <w:iCs/>
          <w:lang w:eastAsia="en-AU"/>
        </w:rPr>
        <w:t>the UNCITRAL Coordination Committee for Australia</w:t>
      </w:r>
      <w:r w:rsidRPr="00691688">
        <w:rPr>
          <w:rFonts w:cstheme="minorHAnsi"/>
          <w:lang w:eastAsia="en-AU"/>
        </w:rPr>
        <w:t xml:space="preserve"> to highlight, for practitioners and students, the work of the UN Commission on International Trade Law. </w:t>
      </w:r>
    </w:p>
    <w:p w14:paraId="57886841" w14:textId="548D8331" w:rsidR="000E11D6" w:rsidRPr="00691688" w:rsidRDefault="000E11D6" w:rsidP="00511EA6">
      <w:pPr>
        <w:rPr>
          <w:rFonts w:cstheme="minorHAnsi"/>
        </w:rPr>
      </w:pPr>
      <w:r w:rsidRPr="00691688">
        <w:rPr>
          <w:rFonts w:cstheme="minorHAnsi"/>
        </w:rPr>
        <w:t xml:space="preserve">Known as </w:t>
      </w:r>
      <w:r w:rsidRPr="00691688">
        <w:rPr>
          <w:rFonts w:cstheme="minorHAnsi"/>
          <w:lang w:eastAsia="en-AU"/>
        </w:rPr>
        <w:t>UNCCA for short</w:t>
      </w:r>
      <w:r w:rsidRPr="00691688">
        <w:rPr>
          <w:rStyle w:val="FootnoteReference"/>
          <w:rFonts w:cstheme="minorHAnsi"/>
          <w:lang w:eastAsia="en-AU"/>
        </w:rPr>
        <w:footnoteReference w:id="2"/>
      </w:r>
      <w:r w:rsidRPr="00691688">
        <w:rPr>
          <w:rFonts w:cstheme="minorHAnsi"/>
          <w:lang w:eastAsia="en-AU"/>
        </w:rPr>
        <w:t xml:space="preserve"> the Committee </w:t>
      </w:r>
      <w:r w:rsidRPr="00691688">
        <w:rPr>
          <w:rFonts w:cstheme="minorHAnsi"/>
        </w:rPr>
        <w:t xml:space="preserve">was established in 2013, by founder and initial chair, Tim Castle.  With </w:t>
      </w:r>
      <w:r w:rsidR="0048528B">
        <w:rPr>
          <w:rFonts w:cstheme="minorHAnsi"/>
        </w:rPr>
        <w:t>member</w:t>
      </w:r>
      <w:bookmarkStart w:id="0" w:name="_GoBack"/>
      <w:bookmarkEnd w:id="0"/>
      <w:r w:rsidR="0048528B">
        <w:rPr>
          <w:rFonts w:cstheme="minorHAnsi"/>
        </w:rPr>
        <w:t xml:space="preserve">s </w:t>
      </w:r>
      <w:r w:rsidRPr="00691688">
        <w:rPr>
          <w:rFonts w:cstheme="minorHAnsi"/>
        </w:rPr>
        <w:t>from across Australia, UNCCA has achieved much in just a few years</w:t>
      </w:r>
      <w:r w:rsidRPr="00691688">
        <w:rPr>
          <w:rStyle w:val="FootnoteReference"/>
          <w:rFonts w:cstheme="minorHAnsi"/>
        </w:rPr>
        <w:footnoteReference w:id="3"/>
      </w:r>
      <w:r w:rsidRPr="00691688">
        <w:rPr>
          <w:rFonts w:cstheme="minorHAnsi"/>
        </w:rPr>
        <w:t xml:space="preserve"> - of particular note has been the representation by Australians at all six UNCITRAL Working Groups since 2015, either as part of an official Australian delegation (</w:t>
      </w:r>
      <w:proofErr w:type="spellStart"/>
      <w:r w:rsidRPr="00691688">
        <w:rPr>
          <w:rFonts w:cstheme="minorHAnsi"/>
        </w:rPr>
        <w:t>eg</w:t>
      </w:r>
      <w:proofErr w:type="spellEnd"/>
      <w:r w:rsidRPr="00691688">
        <w:rPr>
          <w:rFonts w:cstheme="minorHAnsi"/>
        </w:rPr>
        <w:t xml:space="preserve"> WGII on Arbitration and Conciliation in 2016) or as observers on behalf of LAWASIA (e.g. WGV on insolvency). </w:t>
      </w:r>
    </w:p>
    <w:p w14:paraId="4CD3783A" w14:textId="73796D71" w:rsidR="000E11D6" w:rsidRPr="00691688" w:rsidRDefault="000E11D6" w:rsidP="004843DC">
      <w:pPr>
        <w:rPr>
          <w:rFonts w:eastAsia="Times New Roman" w:cstheme="minorHAnsi"/>
          <w:lang w:eastAsia="en-AU"/>
        </w:rPr>
      </w:pPr>
      <w:r w:rsidRPr="00691688">
        <w:rPr>
          <w:rFonts w:cstheme="minorHAnsi"/>
          <w:lang w:eastAsia="en-AU"/>
        </w:rPr>
        <w:t>Another activity has been this annual U</w:t>
      </w:r>
      <w:r w:rsidR="00AE19D7">
        <w:rPr>
          <w:rFonts w:cstheme="minorHAnsi"/>
          <w:lang w:eastAsia="en-AU"/>
        </w:rPr>
        <w:t xml:space="preserve">nited </w:t>
      </w:r>
      <w:r w:rsidRPr="00691688">
        <w:rPr>
          <w:rFonts w:cstheme="minorHAnsi"/>
          <w:lang w:eastAsia="en-AU"/>
        </w:rPr>
        <w:t>N</w:t>
      </w:r>
      <w:r w:rsidR="00AE19D7">
        <w:rPr>
          <w:rFonts w:cstheme="minorHAnsi"/>
          <w:lang w:eastAsia="en-AU"/>
        </w:rPr>
        <w:t>ations</w:t>
      </w:r>
      <w:r w:rsidRPr="00691688">
        <w:rPr>
          <w:rFonts w:cstheme="minorHAnsi"/>
          <w:lang w:eastAsia="en-AU"/>
        </w:rPr>
        <w:t xml:space="preserve"> Day Lecture held in most capital cities since 2017. </w:t>
      </w:r>
      <w:r w:rsidRPr="00691688">
        <w:rPr>
          <w:rFonts w:cstheme="minorHAnsi"/>
        </w:rPr>
        <w:t>United Nations Day has been celebrated since 1948 to mark the anniversary of the UN Charter of 1945.</w:t>
      </w:r>
      <w:r w:rsidRPr="00691688">
        <w:rPr>
          <w:rStyle w:val="FootnoteReference"/>
          <w:rFonts w:cstheme="minorHAnsi"/>
        </w:rPr>
        <w:footnoteReference w:id="4"/>
      </w:r>
      <w:r w:rsidRPr="00691688">
        <w:rPr>
          <w:rFonts w:cstheme="minorHAnsi"/>
        </w:rPr>
        <w:t xml:space="preserve"> That Charter sets out the aims of the UN which include “</w:t>
      </w:r>
      <w:r w:rsidRPr="00691688">
        <w:rPr>
          <w:rFonts w:eastAsia="Times New Roman" w:cstheme="minorHAnsi"/>
          <w:lang w:eastAsia="en-AU"/>
        </w:rPr>
        <w:t>the promotion of the economic and social advancement of all peoples”</w:t>
      </w:r>
      <w:r w:rsidRPr="00691688">
        <w:rPr>
          <w:rFonts w:cstheme="minorHAnsi"/>
        </w:rPr>
        <w:t>.</w:t>
      </w:r>
      <w:r w:rsidRPr="00691688">
        <w:rPr>
          <w:rStyle w:val="FootnoteReference"/>
          <w:rFonts w:cstheme="minorHAnsi"/>
        </w:rPr>
        <w:footnoteReference w:id="5"/>
      </w:r>
      <w:r w:rsidRPr="00691688">
        <w:rPr>
          <w:rFonts w:cstheme="minorHAnsi"/>
        </w:rPr>
        <w:t xml:space="preserve"> Some 20 years later (i</w:t>
      </w:r>
      <w:r w:rsidRPr="00691688">
        <w:rPr>
          <w:rFonts w:cstheme="minorHAnsi"/>
          <w:shd w:val="clear" w:color="auto" w:fill="FFFFFF"/>
        </w:rPr>
        <w:t>n 1966), the UN established the inter-governmental United Nations Commission on International Trade Law (UNCITRAL), of which Australia is a member.</w:t>
      </w:r>
      <w:r w:rsidRPr="00691688">
        <w:rPr>
          <w:rStyle w:val="FootnoteReference"/>
          <w:rFonts w:cstheme="minorHAnsi"/>
          <w:shd w:val="clear" w:color="auto" w:fill="FFFFFF"/>
        </w:rPr>
        <w:footnoteReference w:id="6"/>
      </w:r>
      <w:r w:rsidRPr="00691688">
        <w:rPr>
          <w:rFonts w:cstheme="minorHAnsi"/>
          <w:shd w:val="clear" w:color="auto" w:fill="FFFFFF"/>
        </w:rPr>
        <w:t xml:space="preserve">  Since then </w:t>
      </w:r>
      <w:r w:rsidRPr="00691688">
        <w:rPr>
          <w:rFonts w:eastAsia="Times New Roman" w:cstheme="minorHAnsi"/>
          <w:lang w:eastAsia="en-AU"/>
        </w:rPr>
        <w:t>UNCITRAL has created “an enviable and successful record of developing conventions and model laws in commercial and business law areas”.</w:t>
      </w:r>
      <w:r w:rsidRPr="00691688">
        <w:rPr>
          <w:rStyle w:val="FootnoteReference"/>
          <w:rFonts w:eastAsia="Times New Roman" w:cstheme="minorHAnsi"/>
          <w:lang w:eastAsia="en-AU"/>
        </w:rPr>
        <w:footnoteReference w:id="7"/>
      </w:r>
      <w:r w:rsidRPr="00691688">
        <w:rPr>
          <w:rFonts w:eastAsia="Times New Roman" w:cstheme="minorHAnsi"/>
          <w:lang w:eastAsia="en-AU"/>
        </w:rPr>
        <w:t xml:space="preserve"> These include on the sale of goods, commercial arbitration, security interests, and electronic commerce. It also includes insolvency and restructuring.  </w:t>
      </w:r>
    </w:p>
    <w:p w14:paraId="5D9451AA" w14:textId="35405FF7" w:rsidR="000E11D6" w:rsidRPr="00691688" w:rsidRDefault="000E11D6" w:rsidP="00801FB9">
      <w:pPr>
        <w:rPr>
          <w:rFonts w:eastAsia="Arial" w:cstheme="minorHAnsi"/>
        </w:rPr>
      </w:pPr>
      <w:r w:rsidRPr="00691688">
        <w:rPr>
          <w:rFonts w:cstheme="minorHAnsi"/>
          <w:lang w:eastAsia="en-AU"/>
        </w:rPr>
        <w:lastRenderedPageBreak/>
        <w:t xml:space="preserve">This year we focus on UNCITRAL’s work in the area of insolvency over the past quarter-century and I will note in passing </w:t>
      </w:r>
      <w:r w:rsidR="000F5F89" w:rsidRPr="00691688">
        <w:rPr>
          <w:rFonts w:cstheme="minorHAnsi"/>
          <w:lang w:eastAsia="en-AU"/>
        </w:rPr>
        <w:t xml:space="preserve">just some of the </w:t>
      </w:r>
      <w:r w:rsidRPr="00691688">
        <w:rPr>
          <w:rFonts w:cstheme="minorHAnsi"/>
          <w:lang w:eastAsia="en-AU"/>
        </w:rPr>
        <w:t xml:space="preserve">contributions made by Australian representatives to many UNCITRAL developments in this area. I will also outline the framework of the first Model Law dealing with insolvency (specifically the 1997 ML on Cross-Border Insolvency) as well as describe the other insolvency projects undertaken by UNCITRAL.  Australia has adopted that the 1997 Model Law through domestic legislation and so my UNCCA colleague, </w:t>
      </w:r>
      <w:r w:rsidRPr="00691688">
        <w:rPr>
          <w:rFonts w:eastAsia="Arial" w:cstheme="minorHAnsi"/>
          <w:b/>
          <w:bCs/>
        </w:rPr>
        <w:t>Scott Butler</w:t>
      </w:r>
      <w:r w:rsidRPr="00691688">
        <w:rPr>
          <w:rFonts w:eastAsia="Arial" w:cstheme="minorHAnsi"/>
        </w:rPr>
        <w:t xml:space="preserve"> will comment in greater detail on its implications for local practice.</w:t>
      </w:r>
    </w:p>
    <w:p w14:paraId="4BB496C6" w14:textId="55C25F32" w:rsidR="000E11D6" w:rsidRPr="00691688" w:rsidRDefault="000E11D6" w:rsidP="00B12582">
      <w:pPr>
        <w:pStyle w:val="Heading3"/>
        <w:numPr>
          <w:ilvl w:val="0"/>
          <w:numId w:val="24"/>
        </w:numPr>
        <w:spacing w:after="160"/>
        <w:ind w:left="714" w:hanging="357"/>
        <w:rPr>
          <w:rFonts w:asciiTheme="minorHAnsi" w:hAnsiTheme="minorHAnsi" w:cstheme="minorHAnsi"/>
          <w:b/>
          <w:bCs/>
          <w:color w:val="auto"/>
          <w:sz w:val="22"/>
          <w:szCs w:val="22"/>
        </w:rPr>
      </w:pPr>
      <w:r w:rsidRPr="00691688">
        <w:rPr>
          <w:rFonts w:asciiTheme="minorHAnsi" w:hAnsiTheme="minorHAnsi" w:cstheme="minorHAnsi"/>
          <w:b/>
          <w:bCs/>
          <w:color w:val="auto"/>
          <w:sz w:val="22"/>
          <w:szCs w:val="22"/>
        </w:rPr>
        <w:t xml:space="preserve">History of UNCITRAL’s work on Insolvency </w:t>
      </w:r>
    </w:p>
    <w:p w14:paraId="3AC55AA6" w14:textId="2240548B" w:rsidR="000E11D6" w:rsidRPr="00691688" w:rsidRDefault="000E11D6" w:rsidP="007A6B2D">
      <w:pPr>
        <w:rPr>
          <w:rFonts w:eastAsia="Times New Roman" w:cstheme="minorHAnsi"/>
          <w:lang w:eastAsia="en-AU"/>
        </w:rPr>
      </w:pPr>
      <w:r w:rsidRPr="00691688">
        <w:rPr>
          <w:rFonts w:eastAsia="Times New Roman" w:cstheme="minorHAnsi"/>
          <w:lang w:eastAsia="en-AU"/>
        </w:rPr>
        <w:t>UNCITRAL’s involvement in insolvency began largely as a result of an initiative by practitioners through non-governmental organisations in the sector, in particular by INSOL International (of which ARITA and the Business Section of the Law Council of Australia are members) together with input from the International Bar Association</w:t>
      </w:r>
      <w:r w:rsidR="005A709B">
        <w:rPr>
          <w:rFonts w:eastAsia="Times New Roman" w:cstheme="minorHAnsi"/>
          <w:lang w:eastAsia="en-AU"/>
        </w:rPr>
        <w:t xml:space="preserve"> and others</w:t>
      </w:r>
      <w:r w:rsidRPr="00691688">
        <w:rPr>
          <w:rFonts w:eastAsia="Times New Roman" w:cstheme="minorHAnsi"/>
          <w:lang w:eastAsia="en-AU"/>
        </w:rPr>
        <w:t>.</w:t>
      </w:r>
      <w:r w:rsidRPr="00691688">
        <w:rPr>
          <w:rStyle w:val="FootnoteReference"/>
          <w:rFonts w:eastAsia="Times New Roman" w:cstheme="minorHAnsi"/>
          <w:lang w:eastAsia="en-AU"/>
        </w:rPr>
        <w:footnoteReference w:id="8"/>
      </w:r>
      <w:r w:rsidRPr="00691688">
        <w:rPr>
          <w:rFonts w:eastAsia="Times New Roman" w:cstheme="minorHAnsi"/>
          <w:lang w:eastAsia="en-AU"/>
        </w:rPr>
        <w:t xml:space="preserve">  </w:t>
      </w:r>
    </w:p>
    <w:p w14:paraId="4241862B" w14:textId="77777777" w:rsidR="000E11D6" w:rsidRPr="00691688" w:rsidRDefault="000E11D6" w:rsidP="00796A98">
      <w:pPr>
        <w:rPr>
          <w:rFonts w:cstheme="minorHAnsi"/>
          <w:lang w:eastAsia="en-AU"/>
        </w:rPr>
      </w:pPr>
      <w:r w:rsidRPr="00691688">
        <w:rPr>
          <w:rFonts w:eastAsia="Times New Roman" w:cstheme="minorHAnsi"/>
          <w:lang w:eastAsia="en-AU"/>
        </w:rPr>
        <w:t xml:space="preserve">This call for a more </w:t>
      </w:r>
      <w:r w:rsidRPr="00691688">
        <w:rPr>
          <w:rFonts w:cstheme="minorHAnsi"/>
          <w:lang w:eastAsia="en-AU"/>
        </w:rPr>
        <w:t xml:space="preserve">consistent approach to cross-border insolvency issues was made after the recession of the early 1990s.  The financial collapse of global enterprises had led to their constituent parts falling like dominoes - without regard for national boundaries and the complexities of diverse legal systems and insolvency laws.  </w:t>
      </w:r>
    </w:p>
    <w:p w14:paraId="65467E61" w14:textId="7F63DAA3" w:rsidR="000E11D6" w:rsidRPr="00691688" w:rsidRDefault="000E11D6" w:rsidP="00A57C2D">
      <w:pPr>
        <w:rPr>
          <w:rFonts w:cstheme="minorHAnsi"/>
          <w:lang w:eastAsia="en-AU"/>
        </w:rPr>
      </w:pPr>
      <w:r w:rsidRPr="00691688">
        <w:rPr>
          <w:rFonts w:cstheme="minorHAnsi"/>
          <w:lang w:eastAsia="en-AU"/>
        </w:rPr>
        <w:t xml:space="preserve">A classic example was the collapse of the </w:t>
      </w:r>
      <w:r w:rsidRPr="00691688">
        <w:rPr>
          <w:rFonts w:cstheme="minorHAnsi"/>
        </w:rPr>
        <w:t>Maxwell Communications Corporation plc (MCC) group.</w:t>
      </w:r>
      <w:r w:rsidRPr="00691688">
        <w:rPr>
          <w:rStyle w:val="FootnoteReference"/>
          <w:rFonts w:cstheme="minorHAnsi"/>
        </w:rPr>
        <w:footnoteReference w:id="9"/>
      </w:r>
      <w:r w:rsidRPr="00691688">
        <w:rPr>
          <w:rFonts w:cstheme="minorHAnsi"/>
        </w:rPr>
        <w:t xml:space="preserve">  This followed shortly after the death by drowning of its charismatic leader Robert Maxwell who fell from his luxury vessel off the Canary Islands the day before he was to meet with the </w:t>
      </w:r>
      <w:r w:rsidRPr="00691688">
        <w:rPr>
          <w:rFonts w:cstheme="minorHAnsi"/>
          <w:shd w:val="clear" w:color="auto" w:fill="FFFFFF"/>
        </w:rPr>
        <w:t xml:space="preserve">then deputy governor of the </w:t>
      </w:r>
      <w:r w:rsidRPr="00691688">
        <w:rPr>
          <w:rFonts w:cstheme="minorHAnsi"/>
        </w:rPr>
        <w:t>Bank of England.</w:t>
      </w:r>
      <w:r w:rsidRPr="00691688">
        <w:rPr>
          <w:rStyle w:val="FootnoteReference"/>
          <w:rFonts w:cstheme="minorHAnsi"/>
        </w:rPr>
        <w:footnoteReference w:id="10"/>
      </w:r>
      <w:r w:rsidRPr="00691688">
        <w:rPr>
          <w:rFonts w:cstheme="minorHAnsi"/>
        </w:rPr>
        <w:t xml:space="preserve">  The MCC group consisted of some 400 public companies intertwined with 400 Maxwell private companies.  MCC itself was an English holding company with more than 400 subsidiaries worldwide primarily known for its general and consumer publishing. Assets were located across numerous and varied jurisdictions</w:t>
      </w:r>
      <w:r w:rsidRPr="00691688">
        <w:rPr>
          <w:rFonts w:cstheme="minorHAnsi"/>
          <w:i/>
        </w:rPr>
        <w:t>,</w:t>
      </w:r>
      <w:r w:rsidRPr="00691688">
        <w:rPr>
          <w:rFonts w:cstheme="minorHAnsi"/>
        </w:rPr>
        <w:t xml:space="preserve"> such as Israel, Bulgaria, Germany, Kenya and Canada. </w:t>
      </w:r>
    </w:p>
    <w:p w14:paraId="2DACDA22" w14:textId="58F57245" w:rsidR="000E11D6" w:rsidRPr="00691688" w:rsidRDefault="000E11D6" w:rsidP="00A57C2D">
      <w:pPr>
        <w:rPr>
          <w:rFonts w:cstheme="minorHAnsi"/>
          <w:lang w:eastAsia="en-AU"/>
        </w:rPr>
      </w:pPr>
      <w:r w:rsidRPr="00691688">
        <w:rPr>
          <w:rFonts w:cstheme="minorHAnsi"/>
        </w:rPr>
        <w:t xml:space="preserve">The group’s principal assets were situated in the US (these included </w:t>
      </w:r>
      <w:r w:rsidRPr="00691688">
        <w:rPr>
          <w:rFonts w:cstheme="minorHAnsi"/>
          <w:shd w:val="clear" w:color="auto" w:fill="FFFFFF"/>
        </w:rPr>
        <w:t>the American publishing firm</w:t>
      </w:r>
      <w:r w:rsidRPr="00691688">
        <w:rPr>
          <w:rFonts w:cstheme="minorHAnsi"/>
        </w:rPr>
        <w:t xml:space="preserve"> Macmillan) – and were valued at up to $1 billion whereas its non</w:t>
      </w:r>
      <w:r w:rsidRPr="00691688">
        <w:rPr>
          <w:rFonts w:cstheme="minorHAnsi"/>
        </w:rPr>
        <w:noBreakHyphen/>
        <w:t>US assets were valued at less than £100 million. Yet England was the holding company’s place of incorporation and the group’s place of central management and control.</w:t>
      </w:r>
      <w:r w:rsidRPr="00691688">
        <w:rPr>
          <w:rStyle w:val="FootnoteReference"/>
          <w:rFonts w:cstheme="minorHAnsi"/>
        </w:rPr>
        <w:footnoteReference w:id="11"/>
      </w:r>
      <w:r w:rsidRPr="00691688">
        <w:rPr>
          <w:rFonts w:cstheme="minorHAnsi"/>
        </w:rPr>
        <w:t xml:space="preserve">  It also traded on the London Stock Exchange, kept its corporate books in pounds sterling and owed most of its $2.4 billion debt to British banks and London branches of foreign banks. </w:t>
      </w:r>
    </w:p>
    <w:p w14:paraId="6824C202" w14:textId="2AB46707" w:rsidR="000E11D6" w:rsidRPr="00691688" w:rsidRDefault="000E11D6" w:rsidP="00A867FA">
      <w:pPr>
        <w:autoSpaceDE w:val="0"/>
        <w:autoSpaceDN w:val="0"/>
        <w:adjustRightInd w:val="0"/>
        <w:spacing w:after="0" w:line="240" w:lineRule="auto"/>
        <w:rPr>
          <w:rFonts w:cstheme="minorHAnsi"/>
        </w:rPr>
      </w:pPr>
      <w:r w:rsidRPr="00691688">
        <w:rPr>
          <w:rFonts w:cstheme="minorHAnsi"/>
        </w:rPr>
        <w:t xml:space="preserve">Two concurrent plenary insolvency proceedings were instigated by the MCC Board. On 16 December 1991, they applied in the United States for a Chapter 11 reorganisation and the following day they sought an administration order in England.  A few days later, the court-appointed Examiner in the US and the English Joint Administrators proposed a unique ‘Order and Protocol’ which was approved by the English High Court on New Year’s Eve and the US Bankruptcy Court by mid-January.  The purpose of this operating agreement at the start </w:t>
      </w:r>
      <w:r w:rsidRPr="00691688">
        <w:rPr>
          <w:rFonts w:cstheme="minorHAnsi"/>
          <w:lang w:val="en-US"/>
        </w:rPr>
        <w:t xml:space="preserve">of the case was “to address issues of stabilization and asset </w:t>
      </w:r>
      <w:r w:rsidRPr="00691688">
        <w:rPr>
          <w:rFonts w:cstheme="minorHAnsi"/>
          <w:lang w:val="en-US"/>
        </w:rPr>
        <w:lastRenderedPageBreak/>
        <w:t>preservation, and a second agreement was negotiated at the end to address distribution to creditors and closure of the proceedings.”</w:t>
      </w:r>
      <w:r w:rsidRPr="00691688">
        <w:rPr>
          <w:rStyle w:val="FootnoteReference"/>
          <w:rFonts w:cstheme="minorHAnsi"/>
          <w:lang w:val="en-US"/>
        </w:rPr>
        <w:footnoteReference w:id="12"/>
      </w:r>
      <w:r w:rsidRPr="00691688">
        <w:rPr>
          <w:rFonts w:cstheme="minorHAnsi"/>
        </w:rPr>
        <w:t xml:space="preserve"> </w:t>
      </w:r>
    </w:p>
    <w:p w14:paraId="0BA609B1" w14:textId="77777777" w:rsidR="000E11D6" w:rsidRPr="00691688" w:rsidRDefault="000E11D6" w:rsidP="00A867FA">
      <w:pPr>
        <w:autoSpaceDE w:val="0"/>
        <w:autoSpaceDN w:val="0"/>
        <w:adjustRightInd w:val="0"/>
        <w:spacing w:after="0" w:line="240" w:lineRule="auto"/>
        <w:rPr>
          <w:rFonts w:cstheme="minorHAnsi"/>
        </w:rPr>
      </w:pPr>
    </w:p>
    <w:p w14:paraId="3571340D" w14:textId="7778E406" w:rsidR="000E11D6" w:rsidRPr="00691688" w:rsidRDefault="000E11D6" w:rsidP="00A867FA">
      <w:pPr>
        <w:autoSpaceDE w:val="0"/>
        <w:autoSpaceDN w:val="0"/>
        <w:adjustRightInd w:val="0"/>
        <w:spacing w:after="0" w:line="240" w:lineRule="auto"/>
        <w:rPr>
          <w:rFonts w:cstheme="minorHAnsi"/>
        </w:rPr>
      </w:pPr>
      <w:r w:rsidRPr="00691688">
        <w:rPr>
          <w:rFonts w:cstheme="minorHAnsi"/>
        </w:rPr>
        <w:t>Despite the Protocol assisting in the insolvency administration, issues still arose for litigation by claimants, one of the more significant being over an allegedly voidable US $30 million transaction with connections to both the United States and England.</w:t>
      </w:r>
      <w:r w:rsidRPr="00691688">
        <w:rPr>
          <w:rStyle w:val="FootnoteReference"/>
          <w:rFonts w:cstheme="minorHAnsi"/>
        </w:rPr>
        <w:footnoteReference w:id="13"/>
      </w:r>
      <w:r w:rsidRPr="00691688">
        <w:rPr>
          <w:rFonts w:cstheme="minorHAnsi"/>
        </w:rPr>
        <w:t xml:space="preserve"> We will return to the issue of voidable transactions in a cross-border context later. </w:t>
      </w:r>
    </w:p>
    <w:p w14:paraId="04358235" w14:textId="59CAAB34" w:rsidR="000E11D6" w:rsidRPr="00691688" w:rsidRDefault="000E11D6" w:rsidP="00A867FA">
      <w:pPr>
        <w:autoSpaceDE w:val="0"/>
        <w:autoSpaceDN w:val="0"/>
        <w:adjustRightInd w:val="0"/>
        <w:spacing w:after="0" w:line="240" w:lineRule="auto"/>
        <w:rPr>
          <w:rFonts w:cstheme="minorHAnsi"/>
        </w:rPr>
      </w:pPr>
    </w:p>
    <w:p w14:paraId="594BACC6" w14:textId="12867864" w:rsidR="000E11D6" w:rsidRPr="00691688" w:rsidRDefault="000E11D6" w:rsidP="00B66A84">
      <w:pPr>
        <w:rPr>
          <w:rFonts w:cstheme="minorHAnsi"/>
          <w:shd w:val="clear" w:color="auto" w:fill="FFFFFF"/>
        </w:rPr>
      </w:pPr>
      <w:r w:rsidRPr="00691688">
        <w:rPr>
          <w:rFonts w:cstheme="minorHAnsi"/>
          <w:lang w:eastAsia="en-AU"/>
        </w:rPr>
        <w:t>So against the backdrop of the Maxwell and other major global insolvencies,</w:t>
      </w:r>
      <w:r w:rsidR="00901916">
        <w:rPr>
          <w:rStyle w:val="FootnoteReference"/>
          <w:rFonts w:cstheme="minorHAnsi"/>
          <w:lang w:eastAsia="en-AU"/>
        </w:rPr>
        <w:footnoteReference w:id="14"/>
      </w:r>
      <w:r w:rsidRPr="00691688">
        <w:rPr>
          <w:rFonts w:cstheme="minorHAnsi"/>
          <w:lang w:eastAsia="en-AU"/>
        </w:rPr>
        <w:t xml:space="preserve"> </w:t>
      </w:r>
      <w:r w:rsidRPr="00691688">
        <w:rPr>
          <w:rFonts w:eastAsia="Times New Roman" w:cstheme="minorHAnsi"/>
          <w:lang w:eastAsia="en-AU"/>
        </w:rPr>
        <w:t xml:space="preserve">a call for an improved </w:t>
      </w:r>
      <w:r w:rsidRPr="00691688">
        <w:rPr>
          <w:rFonts w:cstheme="minorHAnsi"/>
          <w:lang w:eastAsia="en-AU"/>
        </w:rPr>
        <w:t xml:space="preserve">approach to cross-border insolvency issues, was made </w:t>
      </w:r>
      <w:r w:rsidRPr="00691688">
        <w:rPr>
          <w:rFonts w:cstheme="minorHAnsi"/>
          <w:shd w:val="clear" w:color="auto" w:fill="FFFFFF"/>
        </w:rPr>
        <w:t>at an UNCITRAL Congress, "Uniform Commercial Law in the 21st Century",</w:t>
      </w:r>
      <w:r w:rsidRPr="00691688">
        <w:rPr>
          <w:rStyle w:val="FootnoteReference"/>
          <w:rFonts w:cstheme="minorHAnsi"/>
          <w:shd w:val="clear" w:color="auto" w:fill="FFFFFF"/>
        </w:rPr>
        <w:footnoteReference w:id="15"/>
      </w:r>
      <w:r w:rsidRPr="00691688">
        <w:rPr>
          <w:rFonts w:cstheme="minorHAnsi"/>
          <w:shd w:val="clear" w:color="auto" w:fill="FFFFFF"/>
        </w:rPr>
        <w:t xml:space="preserve"> held in New York </w:t>
      </w:r>
      <w:r w:rsidRPr="00691688">
        <w:rPr>
          <w:rFonts w:cstheme="minorHAnsi"/>
          <w:lang w:eastAsia="en-AU"/>
        </w:rPr>
        <w:t>in May 1992</w:t>
      </w:r>
      <w:r w:rsidRPr="00691688">
        <w:rPr>
          <w:rFonts w:cstheme="minorHAnsi"/>
          <w:shd w:val="clear" w:color="auto" w:fill="FFFFFF"/>
        </w:rPr>
        <w:t xml:space="preserve">.  </w:t>
      </w:r>
    </w:p>
    <w:p w14:paraId="78CB02DB" w14:textId="64D6197D" w:rsidR="000E11D6" w:rsidRPr="00691688" w:rsidRDefault="000E11D6" w:rsidP="00B66A84">
      <w:pPr>
        <w:pStyle w:val="NoSpacing"/>
        <w:spacing w:after="160" w:line="259" w:lineRule="auto"/>
        <w:rPr>
          <w:rFonts w:cstheme="minorHAnsi"/>
        </w:rPr>
      </w:pPr>
      <w:r w:rsidRPr="00691688">
        <w:rPr>
          <w:rFonts w:cstheme="minorHAnsi"/>
        </w:rPr>
        <w:t>This issue was important because insolvency is typically excluded from international instruments that seek to harmonize the private international law of commercial and civil law matters.  For example, it is excluded from the draft Hague Convention on the Recognition and Enforcement of Foreign Judgments.</w:t>
      </w:r>
    </w:p>
    <w:p w14:paraId="614DD174" w14:textId="732F6A7B" w:rsidR="000E11D6" w:rsidRPr="00691688" w:rsidRDefault="000E11D6" w:rsidP="000B4B88">
      <w:pPr>
        <w:rPr>
          <w:rFonts w:eastAsia="Times New Roman" w:cstheme="minorHAnsi"/>
          <w:lang w:eastAsia="en-AU"/>
        </w:rPr>
      </w:pPr>
      <w:r w:rsidRPr="00691688">
        <w:rPr>
          <w:rFonts w:cstheme="minorHAnsi"/>
        </w:rPr>
        <w:t>Insolvency has been described as a ‘unique’ sub-system of commercial law, linked to broader issues of the public interest and aiming to promote a fair process taking account of the interests of multiple groups of stakeholders, to maximize value, minimize waste and enable rescue of viable businesses.</w:t>
      </w:r>
      <w:r w:rsidRPr="00691688">
        <w:rPr>
          <w:rStyle w:val="FootnoteReference"/>
          <w:rFonts w:cstheme="minorHAnsi"/>
        </w:rPr>
        <w:footnoteReference w:id="16"/>
      </w:r>
      <w:r w:rsidRPr="00691688">
        <w:rPr>
          <w:rFonts w:cstheme="minorHAnsi"/>
        </w:rPr>
        <w:t xml:space="preserve"> </w:t>
      </w:r>
    </w:p>
    <w:p w14:paraId="7A157B04" w14:textId="31861D7C" w:rsidR="000E11D6" w:rsidRPr="00691688" w:rsidRDefault="000E11D6" w:rsidP="000B4B88">
      <w:pPr>
        <w:pStyle w:val="NoSpacing"/>
        <w:rPr>
          <w:rFonts w:eastAsia="Times New Roman" w:cstheme="minorHAnsi"/>
          <w:lang w:eastAsia="en-AU"/>
        </w:rPr>
      </w:pPr>
      <w:r w:rsidRPr="00691688">
        <w:rPr>
          <w:rFonts w:eastAsia="Times New Roman" w:cstheme="minorHAnsi"/>
          <w:lang w:eastAsia="en-AU"/>
        </w:rPr>
        <w:t xml:space="preserve">Immediately following the </w:t>
      </w:r>
      <w:r w:rsidR="000F5F89" w:rsidRPr="00691688">
        <w:rPr>
          <w:rFonts w:eastAsia="Times New Roman" w:cstheme="minorHAnsi"/>
          <w:lang w:eastAsia="en-AU"/>
        </w:rPr>
        <w:t xml:space="preserve">1992 </w:t>
      </w:r>
      <w:r w:rsidRPr="00691688">
        <w:rPr>
          <w:rFonts w:eastAsia="Times New Roman" w:cstheme="minorHAnsi"/>
          <w:lang w:eastAsia="en-AU"/>
        </w:rPr>
        <w:t>Congress, a proposal was made to the regular UNCITRAL Session asking it to consider undertaking work on international aspects of insolvency.  As a result, the UNCITRAL Secretariat prepared a Note on the topic that was discussed at the 1993 Session.</w:t>
      </w:r>
      <w:r w:rsidRPr="00691688">
        <w:rPr>
          <w:rStyle w:val="FootnoteReference"/>
          <w:rFonts w:eastAsia="Times New Roman" w:cstheme="minorHAnsi"/>
          <w:lang w:eastAsia="en-AU"/>
        </w:rPr>
        <w:footnoteReference w:id="17"/>
      </w:r>
      <w:r w:rsidRPr="00691688">
        <w:rPr>
          <w:rFonts w:eastAsia="Times New Roman" w:cstheme="minorHAnsi"/>
          <w:lang w:eastAsia="en-AU"/>
        </w:rPr>
        <w:t xml:space="preserve">  </w:t>
      </w:r>
    </w:p>
    <w:p w14:paraId="4A5E66FC" w14:textId="5343CBF9" w:rsidR="000E11D6" w:rsidRPr="00691688" w:rsidRDefault="000E11D6" w:rsidP="007A6B2D">
      <w:pPr>
        <w:spacing w:before="240" w:after="288"/>
        <w:rPr>
          <w:rFonts w:cstheme="minorHAnsi"/>
          <w:shd w:val="clear" w:color="auto" w:fill="FFFFFF"/>
        </w:rPr>
      </w:pPr>
      <w:r w:rsidRPr="00691688">
        <w:rPr>
          <w:rFonts w:cstheme="minorHAnsi"/>
          <w:shd w:val="clear" w:color="auto" w:fill="FFFFFF"/>
        </w:rPr>
        <w:t>Then in 1994, UNCITRAL and INSOL International (INSOL) held a significant Colloquium on Cross-Border Insolvency in Vienna.</w:t>
      </w:r>
      <w:r w:rsidRPr="00691688">
        <w:rPr>
          <w:rStyle w:val="FootnoteReference"/>
          <w:rFonts w:cstheme="minorHAnsi"/>
          <w:shd w:val="clear" w:color="auto" w:fill="FFFFFF"/>
        </w:rPr>
        <w:footnoteReference w:id="18"/>
      </w:r>
      <w:r w:rsidRPr="00691688">
        <w:rPr>
          <w:rFonts w:cstheme="minorHAnsi"/>
          <w:shd w:val="clear" w:color="auto" w:fill="FFFFFF"/>
        </w:rPr>
        <w:t xml:space="preserve"> It was attended by expert insolvency lawyers and accountants, judges, government officials and representatives of other interested sectors including lenders.  Australian and Lawasia representative Ron </w:t>
      </w:r>
      <w:proofErr w:type="spellStart"/>
      <w:r w:rsidRPr="00691688">
        <w:rPr>
          <w:rFonts w:cstheme="minorHAnsi"/>
          <w:shd w:val="clear" w:color="auto" w:fill="FFFFFF"/>
        </w:rPr>
        <w:t>Harmer</w:t>
      </w:r>
      <w:proofErr w:type="spellEnd"/>
      <w:r w:rsidRPr="00691688">
        <w:rPr>
          <w:rFonts w:cstheme="minorHAnsi"/>
          <w:shd w:val="clear" w:color="auto" w:fill="FFFFFF"/>
        </w:rPr>
        <w:t>, who was the lead Commissioner on the ALRC General Insolvency Inquiry (1988), presented a paper and contributed to the deliberations.</w:t>
      </w:r>
      <w:r w:rsidRPr="00691688">
        <w:rPr>
          <w:rStyle w:val="FootnoteReference"/>
          <w:rFonts w:cstheme="minorHAnsi"/>
          <w:shd w:val="clear" w:color="auto" w:fill="FFFFFF"/>
        </w:rPr>
        <w:footnoteReference w:id="19"/>
      </w:r>
      <w:r w:rsidRPr="00691688">
        <w:rPr>
          <w:rFonts w:cstheme="minorHAnsi"/>
          <w:shd w:val="clear" w:color="auto" w:fill="FFFFFF"/>
        </w:rPr>
        <w:t xml:space="preserve"> The Colloquium identified </w:t>
      </w:r>
      <w:r w:rsidR="00347C42">
        <w:rPr>
          <w:rFonts w:cstheme="minorHAnsi"/>
          <w:shd w:val="clear" w:color="auto" w:fill="FFFFFF"/>
        </w:rPr>
        <w:t xml:space="preserve">three </w:t>
      </w:r>
      <w:r w:rsidRPr="00691688">
        <w:rPr>
          <w:rFonts w:cstheme="minorHAnsi"/>
          <w:shd w:val="clear" w:color="auto" w:fill="FFFFFF"/>
        </w:rPr>
        <w:t xml:space="preserve">useful limited goals for UNCITRAL </w:t>
      </w:r>
      <w:r w:rsidR="00347C42">
        <w:rPr>
          <w:rFonts w:cstheme="minorHAnsi"/>
          <w:shd w:val="clear" w:color="auto" w:fill="FFFFFF"/>
        </w:rPr>
        <w:t xml:space="preserve">– that </w:t>
      </w:r>
      <w:r w:rsidRPr="00691688">
        <w:rPr>
          <w:rFonts w:cstheme="minorHAnsi"/>
          <w:shd w:val="clear" w:color="auto" w:fill="FFFFFF"/>
        </w:rPr>
        <w:t xml:space="preserve">of facilitating judicial cooperation, court access for foreign representatives and recognition of foreign insolvency proceedings.  </w:t>
      </w:r>
    </w:p>
    <w:p w14:paraId="7DF3F078" w14:textId="4053698C" w:rsidR="000E11D6" w:rsidRPr="00691688" w:rsidRDefault="000E11D6" w:rsidP="007A6B2D">
      <w:pPr>
        <w:spacing w:before="240" w:after="288"/>
        <w:rPr>
          <w:rFonts w:cstheme="minorHAnsi"/>
          <w:shd w:val="clear" w:color="auto" w:fill="FFFFFF"/>
        </w:rPr>
      </w:pPr>
      <w:r w:rsidRPr="00691688">
        <w:rPr>
          <w:rFonts w:cstheme="minorHAnsi"/>
          <w:shd w:val="clear" w:color="auto" w:fill="FFFFFF"/>
        </w:rPr>
        <w:lastRenderedPageBreak/>
        <w:t>This was followed in March 1995 by a Judicial Colloquium in Toronto with</w:t>
      </w:r>
      <w:r w:rsidRPr="00691688">
        <w:rPr>
          <w:rFonts w:cstheme="minorHAnsi"/>
        </w:rPr>
        <w:t xml:space="preserve"> over 60 judges and government officials attending from thirty-six states</w:t>
      </w:r>
      <w:r w:rsidRPr="00691688">
        <w:rPr>
          <w:rFonts w:cstheme="minorHAnsi"/>
          <w:shd w:val="clear" w:color="auto" w:fill="FFFFFF"/>
        </w:rPr>
        <w:t>. This Judicial Colloquium</w:t>
      </w:r>
      <w:r w:rsidRPr="00691688">
        <w:rPr>
          <w:rStyle w:val="FootnoteReference"/>
          <w:rFonts w:cstheme="minorHAnsi"/>
          <w:shd w:val="clear" w:color="auto" w:fill="FFFFFF"/>
        </w:rPr>
        <w:footnoteReference w:id="20"/>
      </w:r>
      <w:r w:rsidRPr="00691688">
        <w:rPr>
          <w:rFonts w:cstheme="minorHAnsi"/>
          <w:shd w:val="clear" w:color="auto" w:fill="FFFFFF"/>
        </w:rPr>
        <w:t xml:space="preserve"> reached a consensus that UNCITRAL’s development of a model legislative text with a limited scope was ‘desirable’, ‘feasible’ and ‘in need of urgent attention’.  (The Judicial Colloquium on insolvency, which is now supported by UNCITRAL/INSOL/World Bank, continues to meet biennially. Its most recent meeting was in Singapore in March 2019.</w:t>
      </w:r>
      <w:r w:rsidRPr="00691688">
        <w:rPr>
          <w:rStyle w:val="FootnoteReference"/>
          <w:rFonts w:cstheme="minorHAnsi"/>
          <w:shd w:val="clear" w:color="auto" w:fill="FFFFFF"/>
        </w:rPr>
        <w:footnoteReference w:id="21"/>
      </w:r>
      <w:r w:rsidRPr="00691688">
        <w:rPr>
          <w:rFonts w:cstheme="minorHAnsi"/>
          <w:shd w:val="clear" w:color="auto" w:fill="FFFFFF"/>
        </w:rPr>
        <w:t xml:space="preserve">) </w:t>
      </w:r>
    </w:p>
    <w:p w14:paraId="2DA68102" w14:textId="0B2408AE" w:rsidR="000E11D6" w:rsidRPr="00691688" w:rsidRDefault="000E11D6" w:rsidP="00813C51">
      <w:pPr>
        <w:spacing w:before="240" w:after="288"/>
        <w:rPr>
          <w:rFonts w:cstheme="minorHAnsi"/>
          <w:lang w:eastAsia="en-AU"/>
        </w:rPr>
      </w:pPr>
      <w:r w:rsidRPr="00691688">
        <w:rPr>
          <w:rFonts w:cstheme="minorHAnsi"/>
          <w:shd w:val="clear" w:color="auto" w:fill="FFFFFF"/>
        </w:rPr>
        <w:t>And so, at its next regular Session in May 1995, UNCITRAL decided to develop a legal instrument relating to cross-border insolvency.</w:t>
      </w:r>
      <w:r w:rsidRPr="00691688">
        <w:rPr>
          <w:rStyle w:val="FootnoteReference"/>
          <w:rFonts w:cstheme="minorHAnsi"/>
          <w:shd w:val="clear" w:color="auto" w:fill="FFFFFF"/>
        </w:rPr>
        <w:footnoteReference w:id="22"/>
      </w:r>
      <w:r w:rsidRPr="00691688">
        <w:rPr>
          <w:rFonts w:cstheme="minorHAnsi"/>
          <w:shd w:val="clear" w:color="auto" w:fill="FFFFFF"/>
        </w:rPr>
        <w:t xml:space="preserve">  UNCITRAL</w:t>
      </w:r>
      <w:r w:rsidRPr="00691688">
        <w:rPr>
          <w:rFonts w:cstheme="minorHAnsi"/>
          <w:lang w:eastAsia="en-AU"/>
        </w:rPr>
        <w:t xml:space="preserve"> has a small permanent Secretariat</w:t>
      </w:r>
      <w:r w:rsidR="008722D2">
        <w:rPr>
          <w:rFonts w:cstheme="minorHAnsi"/>
          <w:lang w:eastAsia="en-AU"/>
        </w:rPr>
        <w:t>.</w:t>
      </w:r>
      <w:r w:rsidRPr="00691688">
        <w:rPr>
          <w:rFonts w:cstheme="minorHAnsi"/>
          <w:lang w:eastAsia="en-AU"/>
        </w:rPr>
        <w:t xml:space="preserve"> </w:t>
      </w:r>
      <w:r w:rsidR="008722D2">
        <w:rPr>
          <w:rFonts w:cstheme="minorHAnsi"/>
          <w:lang w:eastAsia="en-AU"/>
        </w:rPr>
        <w:t xml:space="preserve"> </w:t>
      </w:r>
      <w:r w:rsidR="004D040C">
        <w:rPr>
          <w:rFonts w:cstheme="minorHAnsi"/>
          <w:lang w:eastAsia="en-AU"/>
        </w:rPr>
        <w:t>Jenny Clift</w:t>
      </w:r>
      <w:r w:rsidR="004D040C">
        <w:rPr>
          <w:rFonts w:cstheme="minorHAnsi"/>
          <w:lang w:eastAsia="en-AU"/>
        </w:rPr>
        <w:t>, a</w:t>
      </w:r>
      <w:r w:rsidR="008722D2">
        <w:rPr>
          <w:rFonts w:cstheme="minorHAnsi"/>
          <w:lang w:eastAsia="en-AU"/>
        </w:rPr>
        <w:t>n Australian</w:t>
      </w:r>
      <w:r w:rsidR="00B916AD">
        <w:rPr>
          <w:rFonts w:cstheme="minorHAnsi"/>
          <w:lang w:eastAsia="en-AU"/>
        </w:rPr>
        <w:t xml:space="preserve"> Principal Legal officer</w:t>
      </w:r>
      <w:r w:rsidR="00C1497F">
        <w:rPr>
          <w:rFonts w:cstheme="minorHAnsi"/>
          <w:lang w:eastAsia="en-AU"/>
        </w:rPr>
        <w:t>,</w:t>
      </w:r>
      <w:r w:rsidR="008722D2">
        <w:rPr>
          <w:rFonts w:cstheme="minorHAnsi"/>
          <w:lang w:eastAsia="en-AU"/>
        </w:rPr>
        <w:t xml:space="preserve"> made a significant contribution </w:t>
      </w:r>
      <w:r w:rsidR="004D040C">
        <w:rPr>
          <w:rFonts w:cstheme="minorHAnsi"/>
          <w:lang w:eastAsia="en-AU"/>
        </w:rPr>
        <w:t>to</w:t>
      </w:r>
      <w:r w:rsidR="00707844">
        <w:rPr>
          <w:rFonts w:cstheme="minorHAnsi"/>
          <w:lang w:eastAsia="en-AU"/>
        </w:rPr>
        <w:t xml:space="preserve"> the Secretariat </w:t>
      </w:r>
      <w:r w:rsidR="004D040C">
        <w:rPr>
          <w:rFonts w:cstheme="minorHAnsi"/>
          <w:lang w:eastAsia="en-AU"/>
        </w:rPr>
        <w:t xml:space="preserve">and in particular to WGV </w:t>
      </w:r>
      <w:r w:rsidR="008722D2">
        <w:rPr>
          <w:rFonts w:cstheme="minorHAnsi"/>
          <w:lang w:eastAsia="en-AU"/>
        </w:rPr>
        <w:t xml:space="preserve">over </w:t>
      </w:r>
      <w:r w:rsidR="00C1497F">
        <w:rPr>
          <w:rFonts w:cstheme="minorHAnsi"/>
          <w:lang w:eastAsia="en-AU"/>
        </w:rPr>
        <w:t>some twenty</w:t>
      </w:r>
      <w:r w:rsidR="008722D2">
        <w:rPr>
          <w:rFonts w:cstheme="minorHAnsi"/>
          <w:lang w:eastAsia="en-AU"/>
        </w:rPr>
        <w:t xml:space="preserve"> year</w:t>
      </w:r>
      <w:r w:rsidR="004D040C">
        <w:rPr>
          <w:rFonts w:cstheme="minorHAnsi"/>
          <w:lang w:eastAsia="en-AU"/>
        </w:rPr>
        <w:t xml:space="preserve">s. </w:t>
      </w:r>
      <w:r w:rsidR="008722D2">
        <w:rPr>
          <w:rFonts w:cstheme="minorHAnsi"/>
          <w:lang w:eastAsia="en-AU"/>
        </w:rPr>
        <w:t xml:space="preserve"> </w:t>
      </w:r>
      <w:r w:rsidR="004D040C">
        <w:rPr>
          <w:rFonts w:cstheme="minorHAnsi"/>
          <w:lang w:eastAsia="en-AU"/>
        </w:rPr>
        <w:t xml:space="preserve">WGV </w:t>
      </w:r>
      <w:r w:rsidRPr="00691688">
        <w:rPr>
          <w:rFonts w:cstheme="minorHAnsi"/>
          <w:lang w:eastAsia="en-AU"/>
        </w:rPr>
        <w:t>carries out its projects through working groups that are composed of all the member states and meet in annual or biannual sessions.  Other UN member states and interested international organisations are invited to attend as observers.</w:t>
      </w:r>
      <w:r w:rsidRPr="00691688">
        <w:rPr>
          <w:rStyle w:val="FootnoteReference"/>
          <w:rFonts w:eastAsia="Times New Roman" w:cstheme="minorHAnsi"/>
          <w:lang w:eastAsia="en-AU"/>
        </w:rPr>
        <w:footnoteReference w:id="23"/>
      </w:r>
      <w:r w:rsidRPr="00691688">
        <w:rPr>
          <w:rFonts w:cstheme="minorHAnsi"/>
          <w:lang w:eastAsia="en-AU"/>
        </w:rPr>
        <w:t xml:space="preserve"> </w:t>
      </w:r>
    </w:p>
    <w:p w14:paraId="37A65364" w14:textId="719FACEF" w:rsidR="000E11D6" w:rsidRPr="00691688" w:rsidRDefault="000E11D6" w:rsidP="00813C51">
      <w:pPr>
        <w:spacing w:before="240" w:after="288"/>
        <w:rPr>
          <w:rFonts w:cstheme="minorHAnsi"/>
          <w:shd w:val="clear" w:color="auto" w:fill="FFFFFF"/>
        </w:rPr>
      </w:pPr>
      <w:r w:rsidRPr="00691688">
        <w:rPr>
          <w:rFonts w:cstheme="minorHAnsi"/>
          <w:shd w:val="clear" w:color="auto" w:fill="FFFFFF"/>
        </w:rPr>
        <w:t>Working Group V (WG) was constituted to consider cross-border insolvency and met in Vienna in October 1996.</w:t>
      </w:r>
      <w:r w:rsidRPr="00691688">
        <w:rPr>
          <w:rStyle w:val="FootnoteReference"/>
          <w:rFonts w:cstheme="minorHAnsi"/>
          <w:shd w:val="clear" w:color="auto" w:fill="FFFFFF"/>
        </w:rPr>
        <w:footnoteReference w:id="24"/>
      </w:r>
      <w:r w:rsidRPr="00691688">
        <w:rPr>
          <w:rFonts w:cstheme="minorHAnsi"/>
          <w:shd w:val="clear" w:color="auto" w:fill="FFFFFF"/>
        </w:rPr>
        <w:t xml:space="preserve"> Australia was a member of the WG and was represented </w:t>
      </w:r>
      <w:r w:rsidRPr="00691688">
        <w:rPr>
          <w:rFonts w:cstheme="minorHAnsi"/>
        </w:rPr>
        <w:t>during this Model Law</w:t>
      </w:r>
      <w:r w:rsidRPr="00691688">
        <w:rPr>
          <w:rFonts w:cstheme="minorHAnsi"/>
          <w:shd w:val="clear" w:color="auto" w:fill="FFFFFF"/>
        </w:rPr>
        <w:t xml:space="preserve"> project by </w:t>
      </w:r>
      <w:r w:rsidRPr="00691688">
        <w:rPr>
          <w:rFonts w:cstheme="minorHAnsi"/>
        </w:rPr>
        <w:t>the</w:t>
      </w:r>
      <w:r w:rsidRPr="00691688">
        <w:rPr>
          <w:rFonts w:cstheme="minorHAnsi"/>
          <w:shd w:val="clear" w:color="auto" w:fill="FFFFFF"/>
        </w:rPr>
        <w:t xml:space="preserve"> </w:t>
      </w:r>
      <w:r w:rsidRPr="00691688">
        <w:rPr>
          <w:rFonts w:cstheme="minorHAnsi"/>
        </w:rPr>
        <w:t>then Australian Solicitor-General, Dr Gavan Griffith QC.</w:t>
      </w:r>
      <w:r w:rsidRPr="00691688">
        <w:rPr>
          <w:rStyle w:val="FootnoteReference"/>
          <w:rFonts w:cstheme="minorHAnsi"/>
        </w:rPr>
        <w:footnoteReference w:id="25"/>
      </w:r>
      <w:r w:rsidRPr="00691688">
        <w:rPr>
          <w:rFonts w:cstheme="minorHAnsi"/>
        </w:rPr>
        <w:t xml:space="preserve"> </w:t>
      </w:r>
    </w:p>
    <w:p w14:paraId="1817CC08" w14:textId="218E3EF0" w:rsidR="000E11D6" w:rsidRPr="00691688" w:rsidRDefault="000E11D6" w:rsidP="000E353D">
      <w:pPr>
        <w:spacing w:before="240" w:after="288"/>
        <w:rPr>
          <w:rFonts w:cstheme="minorHAnsi"/>
          <w:shd w:val="clear" w:color="auto" w:fill="FFFFFF"/>
        </w:rPr>
      </w:pPr>
      <w:r w:rsidRPr="00691688">
        <w:rPr>
          <w:rFonts w:cstheme="minorHAnsi"/>
        </w:rPr>
        <w:t>The WG achieved consensus in a remarkably short period of time and in 1997 the UN recommended that member states adopt the Model Law on Cross-Border Insolvency as part of domestic legislation.</w:t>
      </w:r>
      <w:r w:rsidRPr="00691688">
        <w:rPr>
          <w:rFonts w:cstheme="minorHAnsi"/>
          <w:vertAlign w:val="superscript"/>
        </w:rPr>
        <w:footnoteReference w:id="26"/>
      </w:r>
      <w:r w:rsidRPr="00691688">
        <w:rPr>
          <w:rFonts w:cstheme="minorHAnsi"/>
        </w:rPr>
        <w:t xml:space="preserve"> </w:t>
      </w:r>
      <w:r w:rsidRPr="00691688">
        <w:rPr>
          <w:rFonts w:cstheme="minorHAnsi"/>
          <w:lang w:eastAsia="en-AU"/>
        </w:rPr>
        <w:t xml:space="preserve">Australia adopted </w:t>
      </w:r>
      <w:r w:rsidR="00EE423D" w:rsidRPr="00691688">
        <w:rPr>
          <w:rFonts w:cstheme="minorHAnsi"/>
          <w:lang w:eastAsia="en-AU"/>
        </w:rPr>
        <w:t xml:space="preserve">it </w:t>
      </w:r>
      <w:r w:rsidRPr="00691688">
        <w:rPr>
          <w:rFonts w:cstheme="minorHAnsi"/>
          <w:lang w:eastAsia="en-AU"/>
        </w:rPr>
        <w:t xml:space="preserve">through the </w:t>
      </w:r>
      <w:r w:rsidRPr="00691688">
        <w:rPr>
          <w:rFonts w:cstheme="minorHAnsi"/>
          <w:i/>
          <w:iCs/>
          <w:lang w:eastAsia="en-AU"/>
        </w:rPr>
        <w:t>Cross-Border Insolvency Act 2008</w:t>
      </w:r>
      <w:r w:rsidRPr="00691688">
        <w:rPr>
          <w:rFonts w:cstheme="minorHAnsi"/>
          <w:lang w:eastAsia="en-AU"/>
        </w:rPr>
        <w:t>, which commenced on 1 July 2008.</w:t>
      </w:r>
      <w:r w:rsidRPr="00691688">
        <w:rPr>
          <w:rFonts w:cstheme="minorHAnsi"/>
          <w:shd w:val="clear" w:color="auto" w:fill="FFFFFF"/>
        </w:rPr>
        <w:t xml:space="preserve"> </w:t>
      </w:r>
    </w:p>
    <w:p w14:paraId="26233E99" w14:textId="41C7B869" w:rsidR="000E11D6" w:rsidRPr="00691688" w:rsidRDefault="000E11D6" w:rsidP="000E353D">
      <w:pPr>
        <w:spacing w:before="240" w:after="288"/>
        <w:rPr>
          <w:rFonts w:cstheme="minorHAnsi"/>
          <w:shd w:val="clear" w:color="auto" w:fill="FFFFFF"/>
        </w:rPr>
      </w:pPr>
      <w:r w:rsidRPr="00691688">
        <w:rPr>
          <w:rFonts w:cstheme="minorHAnsi"/>
          <w:lang w:eastAsia="en-AU"/>
        </w:rPr>
        <w:t xml:space="preserve">WGV has continued </w:t>
      </w:r>
      <w:r w:rsidR="00EE423D" w:rsidRPr="00691688">
        <w:rPr>
          <w:rFonts w:cstheme="minorHAnsi"/>
          <w:lang w:eastAsia="en-AU"/>
        </w:rPr>
        <w:t>it</w:t>
      </w:r>
      <w:r w:rsidR="006B2A17">
        <w:rPr>
          <w:rFonts w:cstheme="minorHAnsi"/>
          <w:lang w:eastAsia="en-AU"/>
        </w:rPr>
        <w:t>s</w:t>
      </w:r>
      <w:r w:rsidRPr="00691688">
        <w:rPr>
          <w:rFonts w:cstheme="minorHAnsi"/>
          <w:lang w:eastAsia="en-AU"/>
        </w:rPr>
        <w:t xml:space="preserve"> work on issues relevant to insolvency.  </w:t>
      </w:r>
    </w:p>
    <w:p w14:paraId="0DE5FF55" w14:textId="40652B5E" w:rsidR="000E11D6" w:rsidRPr="00691688" w:rsidRDefault="000E11D6" w:rsidP="00586FF0">
      <w:pPr>
        <w:pStyle w:val="Heading3"/>
        <w:numPr>
          <w:ilvl w:val="0"/>
          <w:numId w:val="24"/>
        </w:numPr>
        <w:rPr>
          <w:rFonts w:asciiTheme="minorHAnsi" w:hAnsiTheme="minorHAnsi" w:cstheme="minorHAnsi"/>
          <w:b/>
          <w:bCs/>
          <w:color w:val="auto"/>
          <w:sz w:val="22"/>
          <w:szCs w:val="22"/>
        </w:rPr>
      </w:pPr>
      <w:r w:rsidRPr="00691688">
        <w:rPr>
          <w:rFonts w:asciiTheme="minorHAnsi" w:hAnsiTheme="minorHAnsi" w:cstheme="minorHAnsi"/>
          <w:b/>
          <w:bCs/>
          <w:color w:val="auto"/>
          <w:sz w:val="22"/>
          <w:szCs w:val="22"/>
        </w:rPr>
        <w:lastRenderedPageBreak/>
        <w:t>Working Group V – Insolvency</w:t>
      </w:r>
    </w:p>
    <w:p w14:paraId="6150BD40" w14:textId="6A51E4CD" w:rsidR="000E11D6" w:rsidRPr="00691688" w:rsidRDefault="000E11D6" w:rsidP="003F4A81">
      <w:pPr>
        <w:spacing w:before="240" w:after="288"/>
        <w:rPr>
          <w:rFonts w:cstheme="minorHAnsi"/>
        </w:rPr>
      </w:pPr>
      <w:r w:rsidRPr="00691688">
        <w:rPr>
          <w:rFonts w:cstheme="minorHAnsi"/>
          <w:lang w:eastAsia="en-AU"/>
        </w:rPr>
        <w:t>In 1999, Australia proposed work on a model law on corporate insolvency,</w:t>
      </w:r>
      <w:r w:rsidRPr="00691688">
        <w:rPr>
          <w:rStyle w:val="FootnoteReference"/>
          <w:rFonts w:cstheme="minorHAnsi"/>
          <w:lang w:eastAsia="en-AU"/>
        </w:rPr>
        <w:footnoteReference w:id="27"/>
      </w:r>
      <w:r w:rsidRPr="00691688">
        <w:rPr>
          <w:rFonts w:cstheme="minorHAnsi"/>
          <w:lang w:eastAsia="en-AU"/>
        </w:rPr>
        <w:t xml:space="preserve"> which project evolved into the development of a Legislative Guide,</w:t>
      </w:r>
      <w:r w:rsidRPr="00691688">
        <w:rPr>
          <w:rStyle w:val="FootnoteReference"/>
          <w:rFonts w:cstheme="minorHAnsi"/>
          <w:lang w:eastAsia="en-AU"/>
        </w:rPr>
        <w:footnoteReference w:id="28"/>
      </w:r>
      <w:r w:rsidRPr="00691688">
        <w:rPr>
          <w:rFonts w:cstheme="minorHAnsi"/>
          <w:lang w:eastAsia="en-AU"/>
        </w:rPr>
        <w:t xml:space="preserve"> </w:t>
      </w:r>
      <w:r w:rsidRPr="00691688">
        <w:rPr>
          <w:rFonts w:cstheme="minorHAnsi"/>
        </w:rPr>
        <w:t>the first two parts for which were finalised in 2004.  In passing, I note a study led by Terence Halliday (a sociologist working for the American Bar Foundation) and NY insolvency professor Susan-Block-</w:t>
      </w:r>
      <w:proofErr w:type="spellStart"/>
      <w:r w:rsidRPr="00691688">
        <w:rPr>
          <w:rFonts w:cstheme="minorHAnsi"/>
        </w:rPr>
        <w:t>Lieb</w:t>
      </w:r>
      <w:proofErr w:type="spellEnd"/>
      <w:r w:rsidRPr="00691688">
        <w:rPr>
          <w:rFonts w:cstheme="minorHAnsi"/>
        </w:rPr>
        <w:t xml:space="preserve"> undertook a detailed analysis of the work of delegations and delegates to WGV on the first two parts of the Legislative Guide.</w:t>
      </w:r>
      <w:r w:rsidRPr="00691688">
        <w:rPr>
          <w:rStyle w:val="FootnoteReference"/>
          <w:rFonts w:cstheme="minorHAnsi"/>
        </w:rPr>
        <w:footnoteReference w:id="29"/>
      </w:r>
      <w:r w:rsidRPr="00691688">
        <w:rPr>
          <w:rFonts w:cstheme="minorHAnsi"/>
        </w:rPr>
        <w:t xml:space="preserve">  They found that Australia was one of only 2 state delegations</w:t>
      </w:r>
      <w:r w:rsidRPr="00691688">
        <w:rPr>
          <w:rStyle w:val="FootnoteReference"/>
          <w:rFonts w:cstheme="minorHAnsi"/>
          <w:lang w:val="en-US"/>
        </w:rPr>
        <w:footnoteReference w:id="30"/>
      </w:r>
      <w:r w:rsidRPr="00691688">
        <w:rPr>
          <w:rFonts w:cstheme="minorHAnsi"/>
          <w:lang w:val="en-US"/>
        </w:rPr>
        <w:t xml:space="preserve"> who attended all 8 sessions with high consistency in attendance by the delegates. In Australia’s case, that was just one person.</w:t>
      </w:r>
      <w:r w:rsidRPr="00691688">
        <w:rPr>
          <w:rStyle w:val="FootnoteReference"/>
          <w:rFonts w:cstheme="minorHAnsi"/>
          <w:lang w:val="en-US"/>
        </w:rPr>
        <w:footnoteReference w:id="31"/>
      </w:r>
      <w:r w:rsidRPr="00691688">
        <w:rPr>
          <w:rFonts w:cstheme="minorHAnsi"/>
        </w:rPr>
        <w:t xml:space="preserve">  And perhaps unsurprisingly, the research found</w:t>
      </w:r>
      <w:r w:rsidR="005E4E10" w:rsidRPr="00691688">
        <w:rPr>
          <w:rFonts w:cstheme="minorHAnsi"/>
        </w:rPr>
        <w:t xml:space="preserve"> that </w:t>
      </w:r>
      <w:r w:rsidRPr="00691688">
        <w:rPr>
          <w:rFonts w:cstheme="minorHAnsi"/>
        </w:rPr>
        <w:t xml:space="preserve">to play an effective role in </w:t>
      </w:r>
      <w:r w:rsidR="00B24D4B">
        <w:rPr>
          <w:rFonts w:cstheme="minorHAnsi"/>
        </w:rPr>
        <w:t>‘</w:t>
      </w:r>
      <w:r w:rsidRPr="00691688">
        <w:rPr>
          <w:rFonts w:cstheme="minorHAnsi"/>
        </w:rPr>
        <w:t>global law-making’ there is value in turning up!</w:t>
      </w:r>
      <w:r w:rsidRPr="00691688">
        <w:rPr>
          <w:rFonts w:cstheme="minorHAnsi"/>
          <w:vertAlign w:val="superscript"/>
        </w:rPr>
        <w:footnoteReference w:id="32"/>
      </w:r>
      <w:r w:rsidRPr="00691688">
        <w:rPr>
          <w:rFonts w:cstheme="minorHAnsi"/>
        </w:rPr>
        <w:t xml:space="preserve"> </w:t>
      </w:r>
    </w:p>
    <w:p w14:paraId="7179239A" w14:textId="0BE7B10B" w:rsidR="000E11D6" w:rsidRPr="00691688" w:rsidRDefault="000E11D6" w:rsidP="003F4A81">
      <w:pPr>
        <w:spacing w:before="240" w:after="288"/>
        <w:rPr>
          <w:rFonts w:cstheme="minorHAnsi"/>
          <w:shd w:val="clear" w:color="auto" w:fill="FFFFFF"/>
        </w:rPr>
      </w:pPr>
      <w:r w:rsidRPr="00691688">
        <w:rPr>
          <w:rFonts w:cstheme="minorHAnsi"/>
        </w:rPr>
        <w:t xml:space="preserve">While Australia was re-elected as a member of UNCITRAL in 2015, an outcome supported by UNCCA, Australia has not itself been represented at WGV sessions in recent years.  However, UNCCA has ensured Australian experts have continued to attend </w:t>
      </w:r>
      <w:r w:rsidRPr="00691688">
        <w:rPr>
          <w:rFonts w:cstheme="minorHAnsi"/>
          <w:i/>
          <w:iCs/>
        </w:rPr>
        <w:t>pro bono</w:t>
      </w:r>
      <w:r w:rsidRPr="00691688">
        <w:rPr>
          <w:rFonts w:cstheme="minorHAnsi"/>
        </w:rPr>
        <w:t xml:space="preserve"> the WGV sessions in recent years and to contribute to discussions occurring around the formal sessions.</w:t>
      </w:r>
      <w:r w:rsidR="00425ED3">
        <w:rPr>
          <w:rStyle w:val="FootnoteReference"/>
          <w:rFonts w:cstheme="minorHAnsi"/>
        </w:rPr>
        <w:footnoteReference w:id="33"/>
      </w:r>
    </w:p>
    <w:p w14:paraId="406A2A4B" w14:textId="39D35617" w:rsidR="000E11D6" w:rsidRPr="00691688" w:rsidRDefault="00A64888" w:rsidP="00FC5476">
      <w:pPr>
        <w:pStyle w:val="NoSpacing"/>
        <w:spacing w:after="160"/>
        <w:rPr>
          <w:rFonts w:cstheme="minorHAnsi"/>
        </w:rPr>
      </w:pPr>
      <w:r w:rsidRPr="00691688">
        <w:rPr>
          <w:rStyle w:val="Strong"/>
          <w:rFonts w:cstheme="minorHAnsi"/>
          <w:b w:val="0"/>
          <w:bCs w:val="0"/>
        </w:rPr>
        <w:t>As mentioned, WGV</w:t>
      </w:r>
      <w:r w:rsidR="000E11D6" w:rsidRPr="00691688">
        <w:rPr>
          <w:rStyle w:val="Strong"/>
          <w:rFonts w:cstheme="minorHAnsi"/>
          <w:b w:val="0"/>
          <w:bCs w:val="0"/>
        </w:rPr>
        <w:t xml:space="preserve"> </w:t>
      </w:r>
      <w:r w:rsidR="000E11D6" w:rsidRPr="00691688">
        <w:rPr>
          <w:rFonts w:cstheme="minorHAnsi"/>
        </w:rPr>
        <w:t>has continued to make significant contributions</w:t>
      </w:r>
      <w:r w:rsidRPr="00691688">
        <w:rPr>
          <w:rFonts w:cstheme="minorHAnsi"/>
        </w:rPr>
        <w:t xml:space="preserve"> on insolvency</w:t>
      </w:r>
      <w:r w:rsidR="000E11D6" w:rsidRPr="00691688">
        <w:rPr>
          <w:rFonts w:cstheme="minorHAnsi"/>
        </w:rPr>
        <w:t xml:space="preserve"> – in addition to producing the Legislative Guide, it has developed explanatory texts on the 1997 Model Law, as well as two more model laws in 2018 and 2019</w:t>
      </w:r>
      <w:r w:rsidRPr="00691688">
        <w:rPr>
          <w:rFonts w:cstheme="minorHAnsi"/>
        </w:rPr>
        <w:t xml:space="preserve"> and WGV is </w:t>
      </w:r>
      <w:r w:rsidR="000E11D6" w:rsidRPr="00691688">
        <w:rPr>
          <w:rFonts w:cstheme="minorHAnsi"/>
        </w:rPr>
        <w:t xml:space="preserve">continuing to work on further projects </w:t>
      </w:r>
      <w:r w:rsidRPr="00691688">
        <w:rPr>
          <w:rFonts w:cstheme="minorHAnsi"/>
        </w:rPr>
        <w:t xml:space="preserve">on the </w:t>
      </w:r>
      <w:r w:rsidRPr="00691688">
        <w:rPr>
          <w:rFonts w:cstheme="minorHAnsi"/>
        </w:rPr>
        <w:lastRenderedPageBreak/>
        <w:t>area</w:t>
      </w:r>
      <w:r w:rsidR="000E11D6" w:rsidRPr="00691688">
        <w:rPr>
          <w:rFonts w:cstheme="minorHAnsi"/>
        </w:rPr>
        <w:t xml:space="preserve">.  It will be interesting to observe how these may influence Australian developments in insolvency and restructuring regulation. </w:t>
      </w:r>
    </w:p>
    <w:p w14:paraId="0FDC9431" w14:textId="76CFB335" w:rsidR="000E11D6" w:rsidRPr="00691688" w:rsidRDefault="000E11D6" w:rsidP="003B0BBD">
      <w:pPr>
        <w:rPr>
          <w:rFonts w:cstheme="minorHAnsi"/>
        </w:rPr>
      </w:pPr>
      <w:r w:rsidRPr="00691688">
        <w:rPr>
          <w:rFonts w:cstheme="minorHAnsi"/>
        </w:rPr>
        <w:t>I will now briefly outline the significance of the Legislative Guide before turning to the Model Laws.</w:t>
      </w:r>
    </w:p>
    <w:p w14:paraId="5851AD08" w14:textId="589ED918" w:rsidR="000E11D6" w:rsidRPr="00691688" w:rsidRDefault="000E11D6" w:rsidP="008620EE">
      <w:pPr>
        <w:pStyle w:val="Heading3"/>
        <w:numPr>
          <w:ilvl w:val="1"/>
          <w:numId w:val="24"/>
        </w:numPr>
        <w:spacing w:after="120"/>
        <w:ind w:left="714" w:hanging="357"/>
        <w:rPr>
          <w:rFonts w:asciiTheme="minorHAnsi" w:hAnsiTheme="minorHAnsi" w:cstheme="minorHAnsi"/>
          <w:b/>
          <w:bCs/>
          <w:color w:val="auto"/>
          <w:sz w:val="22"/>
          <w:szCs w:val="22"/>
        </w:rPr>
      </w:pPr>
      <w:r w:rsidRPr="00691688">
        <w:rPr>
          <w:rFonts w:asciiTheme="minorHAnsi" w:hAnsiTheme="minorHAnsi" w:cstheme="minorHAnsi"/>
          <w:b/>
          <w:bCs/>
          <w:color w:val="auto"/>
          <w:sz w:val="22"/>
          <w:szCs w:val="22"/>
        </w:rPr>
        <w:t xml:space="preserve">Legislative Guide on Insolvency Law </w:t>
      </w:r>
    </w:p>
    <w:p w14:paraId="2E2E01BA" w14:textId="3616C8D4" w:rsidR="000E11D6" w:rsidRPr="00691688" w:rsidRDefault="000E11D6" w:rsidP="00FA5392">
      <w:pPr>
        <w:rPr>
          <w:rFonts w:cstheme="minorHAnsi"/>
        </w:rPr>
      </w:pPr>
      <w:r w:rsidRPr="00691688">
        <w:rPr>
          <w:rFonts w:cstheme="minorHAnsi"/>
        </w:rPr>
        <w:t xml:space="preserve">The </w:t>
      </w:r>
      <w:r w:rsidRPr="00691688">
        <w:rPr>
          <w:rFonts w:cstheme="minorHAnsi"/>
          <w:b/>
          <w:bCs/>
        </w:rPr>
        <w:t>Legislative Guide on Insolvency Law</w:t>
      </w:r>
      <w:r w:rsidRPr="00691688">
        <w:rPr>
          <w:rFonts w:cstheme="minorHAnsi"/>
        </w:rPr>
        <w:t xml:space="preserve"> has been mentioned already. To date four Parts to the Guide have been adopted by UNCITRAL </w:t>
      </w:r>
      <w:r w:rsidR="0044138F" w:rsidRPr="00691688">
        <w:rPr>
          <w:rFonts w:cstheme="minorHAnsi"/>
        </w:rPr>
        <w:t>since</w:t>
      </w:r>
      <w:r w:rsidRPr="00691688">
        <w:rPr>
          <w:rFonts w:cstheme="minorHAnsi"/>
        </w:rPr>
        <w:t xml:space="preserve"> 2004: </w:t>
      </w:r>
    </w:p>
    <w:p w14:paraId="660C06B3" w14:textId="23234B94" w:rsidR="000E11D6" w:rsidRPr="00691688" w:rsidRDefault="000E11D6" w:rsidP="00AE06A0">
      <w:pPr>
        <w:pStyle w:val="ListParagraph"/>
        <w:numPr>
          <w:ilvl w:val="0"/>
          <w:numId w:val="17"/>
        </w:numPr>
        <w:rPr>
          <w:rFonts w:cstheme="minorHAnsi"/>
        </w:rPr>
      </w:pPr>
      <w:r w:rsidRPr="00691688">
        <w:rPr>
          <w:rFonts w:cstheme="minorHAnsi"/>
        </w:rPr>
        <w:t xml:space="preserve">Part one addresses key objectives and structure, including institutional framework requirements. </w:t>
      </w:r>
    </w:p>
    <w:p w14:paraId="5859ED29" w14:textId="77777777" w:rsidR="000E11D6" w:rsidRPr="00691688" w:rsidRDefault="000E11D6" w:rsidP="00AE06A0">
      <w:pPr>
        <w:pStyle w:val="ListParagraph"/>
        <w:numPr>
          <w:ilvl w:val="0"/>
          <w:numId w:val="17"/>
        </w:numPr>
        <w:rPr>
          <w:rFonts w:cstheme="minorHAnsi"/>
        </w:rPr>
      </w:pPr>
      <w:r w:rsidRPr="00691688">
        <w:rPr>
          <w:rFonts w:cstheme="minorHAnsi"/>
        </w:rPr>
        <w:t xml:space="preserve">Part two deals with core provisions for an effective and efficient insolvency law. </w:t>
      </w:r>
    </w:p>
    <w:p w14:paraId="5ACFBC84" w14:textId="77777777" w:rsidR="000E11D6" w:rsidRPr="00691688" w:rsidRDefault="000E11D6" w:rsidP="00AE06A0">
      <w:pPr>
        <w:pStyle w:val="ListParagraph"/>
        <w:numPr>
          <w:ilvl w:val="0"/>
          <w:numId w:val="17"/>
        </w:numPr>
        <w:rPr>
          <w:rFonts w:cstheme="minorHAnsi"/>
        </w:rPr>
      </w:pPr>
      <w:r w:rsidRPr="00691688">
        <w:rPr>
          <w:rFonts w:cstheme="minorHAnsi"/>
        </w:rPr>
        <w:t xml:space="preserve">Part three addresses the treatment of enterprise groups in insolvency, both nationally and internationally. </w:t>
      </w:r>
    </w:p>
    <w:p w14:paraId="70EF61FA" w14:textId="13644F95" w:rsidR="000E11D6" w:rsidRPr="00691688" w:rsidRDefault="000E11D6" w:rsidP="00E75279">
      <w:pPr>
        <w:pStyle w:val="ListParagraph"/>
        <w:numPr>
          <w:ilvl w:val="0"/>
          <w:numId w:val="17"/>
        </w:numPr>
        <w:rPr>
          <w:rFonts w:cstheme="minorHAnsi"/>
        </w:rPr>
      </w:pPr>
      <w:r w:rsidRPr="00691688">
        <w:rPr>
          <w:rFonts w:cstheme="minorHAnsi"/>
        </w:rPr>
        <w:t xml:space="preserve">Part four focuses on directors’ obligations (including within groups) in the period approaching insolvency.  </w:t>
      </w:r>
    </w:p>
    <w:p w14:paraId="31DEA161" w14:textId="3832BD85" w:rsidR="000E11D6" w:rsidRPr="00691688" w:rsidRDefault="000E11D6" w:rsidP="003B0BBD">
      <w:pPr>
        <w:rPr>
          <w:rFonts w:cstheme="minorHAnsi"/>
        </w:rPr>
      </w:pPr>
      <w:r w:rsidRPr="00691688">
        <w:rPr>
          <w:rFonts w:cstheme="minorHAnsi"/>
        </w:rPr>
        <w:t>It “is intended to inform and assist insolvency law reform” by “providing a reference tool for national authorities and legislative bodies” when preparing new laws or reviewing existing ones.</w:t>
      </w:r>
      <w:r w:rsidRPr="00691688">
        <w:rPr>
          <w:rFonts w:cstheme="minorHAnsi"/>
          <w:vertAlign w:val="superscript"/>
        </w:rPr>
        <w:footnoteReference w:id="34"/>
      </w:r>
      <w:r w:rsidRPr="00691688">
        <w:rPr>
          <w:rFonts w:cstheme="minorHAnsi"/>
        </w:rPr>
        <w:t xml:space="preserve">  Perhaps its greatest significance is that, together with the World Bank Principles on Creditor-Debtor Regimes,</w:t>
      </w:r>
      <w:r w:rsidRPr="00691688">
        <w:rPr>
          <w:rStyle w:val="FootnoteReference"/>
          <w:rFonts w:cstheme="minorHAnsi"/>
        </w:rPr>
        <w:footnoteReference w:id="35"/>
      </w:r>
      <w:r w:rsidRPr="00691688">
        <w:rPr>
          <w:rFonts w:cstheme="minorHAnsi"/>
        </w:rPr>
        <w:t xml:space="preserve"> they constitute international best practice standard for insolvency regimes.</w:t>
      </w:r>
      <w:r w:rsidRPr="00691688">
        <w:rPr>
          <w:rStyle w:val="FootnoteReference"/>
          <w:rFonts w:cstheme="minorHAnsi"/>
        </w:rPr>
        <w:footnoteReference w:id="36"/>
      </w:r>
      <w:r w:rsidRPr="00691688">
        <w:rPr>
          <w:rFonts w:cstheme="minorHAnsi"/>
        </w:rPr>
        <w:t xml:space="preserve"> </w:t>
      </w:r>
      <w:r w:rsidR="0077219C" w:rsidRPr="00691688">
        <w:rPr>
          <w:rFonts w:cstheme="minorHAnsi"/>
        </w:rPr>
        <w:t xml:space="preserve"> </w:t>
      </w:r>
    </w:p>
    <w:p w14:paraId="4D9F6FB5" w14:textId="7E3E49BF" w:rsidR="000E11D6" w:rsidRPr="00691688" w:rsidRDefault="000E11D6" w:rsidP="003B0BBD">
      <w:pPr>
        <w:rPr>
          <w:rFonts w:cstheme="minorHAnsi"/>
        </w:rPr>
      </w:pPr>
      <w:r w:rsidRPr="00691688">
        <w:rPr>
          <w:rFonts w:cstheme="minorHAnsi"/>
        </w:rPr>
        <w:t xml:space="preserve">Turning now to the Model Laws in relation to insolvency, I begin with the 1997 Model Law, and its associated explanatory texts.  This is only to outline its approach on which </w:t>
      </w:r>
      <w:r w:rsidRPr="00691688">
        <w:rPr>
          <w:rFonts w:cstheme="minorHAnsi"/>
          <w:b/>
          <w:bCs/>
        </w:rPr>
        <w:t>Scott</w:t>
      </w:r>
      <w:r w:rsidRPr="00691688">
        <w:rPr>
          <w:rFonts w:cstheme="minorHAnsi"/>
        </w:rPr>
        <w:t xml:space="preserve"> will provide more detailed commentary. </w:t>
      </w:r>
    </w:p>
    <w:p w14:paraId="14A5E506" w14:textId="00508DFE" w:rsidR="000E11D6" w:rsidRPr="00691688" w:rsidRDefault="000E11D6" w:rsidP="00851D35">
      <w:pPr>
        <w:pStyle w:val="Heading3"/>
        <w:numPr>
          <w:ilvl w:val="1"/>
          <w:numId w:val="24"/>
        </w:numPr>
        <w:spacing w:after="120"/>
        <w:ind w:left="714" w:hanging="357"/>
        <w:rPr>
          <w:rFonts w:asciiTheme="minorHAnsi" w:hAnsiTheme="minorHAnsi" w:cstheme="minorHAnsi"/>
          <w:b/>
          <w:bCs/>
          <w:color w:val="auto"/>
          <w:sz w:val="22"/>
          <w:szCs w:val="22"/>
        </w:rPr>
      </w:pPr>
      <w:r w:rsidRPr="00691688">
        <w:rPr>
          <w:rFonts w:asciiTheme="minorHAnsi" w:hAnsiTheme="minorHAnsi" w:cstheme="minorHAnsi"/>
          <w:color w:val="auto"/>
          <w:sz w:val="22"/>
          <w:szCs w:val="22"/>
          <w:lang w:eastAsia="en-AU"/>
        </w:rPr>
        <w:tab/>
      </w:r>
      <w:r w:rsidRPr="00691688">
        <w:rPr>
          <w:rFonts w:asciiTheme="minorHAnsi" w:hAnsiTheme="minorHAnsi" w:cstheme="minorHAnsi"/>
          <w:b/>
          <w:bCs/>
          <w:color w:val="auto"/>
          <w:sz w:val="22"/>
          <w:szCs w:val="22"/>
        </w:rPr>
        <w:t>Cross-Border Insolvency Act and the 1997 ML on CBI</w:t>
      </w:r>
    </w:p>
    <w:p w14:paraId="56B227E6" w14:textId="505BB5D4" w:rsidR="000E11D6" w:rsidRPr="00691688" w:rsidRDefault="000E11D6" w:rsidP="0032798C">
      <w:pPr>
        <w:spacing w:line="240" w:lineRule="auto"/>
        <w:jc w:val="both"/>
        <w:rPr>
          <w:rFonts w:cstheme="minorHAnsi"/>
        </w:rPr>
      </w:pPr>
      <w:r w:rsidRPr="00691688">
        <w:rPr>
          <w:rFonts w:cstheme="minorHAnsi"/>
        </w:rPr>
        <w:t>At the time of writing, the 1997 Model Law has been adopted in a total of 48 jurisdictions.</w:t>
      </w:r>
      <w:r w:rsidRPr="00691688">
        <w:rPr>
          <w:rFonts w:cstheme="minorHAnsi"/>
          <w:vertAlign w:val="superscript"/>
        </w:rPr>
        <w:footnoteReference w:id="37"/>
      </w:r>
      <w:r w:rsidRPr="00691688">
        <w:rPr>
          <w:rFonts w:cstheme="minorHAnsi"/>
        </w:rPr>
        <w:t xml:space="preserve"> In the Asia-Pacific region, it has been adopted by Australia,</w:t>
      </w:r>
      <w:r w:rsidRPr="00691688">
        <w:rPr>
          <w:rStyle w:val="FootnoteReference"/>
          <w:rFonts w:cstheme="minorHAnsi"/>
        </w:rPr>
        <w:footnoteReference w:id="38"/>
      </w:r>
      <w:r w:rsidRPr="00691688">
        <w:rPr>
          <w:rFonts w:cstheme="minorHAnsi"/>
        </w:rPr>
        <w:t xml:space="preserve"> Japan,</w:t>
      </w:r>
      <w:r w:rsidRPr="00691688">
        <w:rPr>
          <w:rStyle w:val="FootnoteReference"/>
          <w:rFonts w:cstheme="minorHAnsi"/>
        </w:rPr>
        <w:footnoteReference w:id="39"/>
      </w:r>
      <w:r w:rsidRPr="00691688">
        <w:rPr>
          <w:rFonts w:cstheme="minorHAnsi"/>
        </w:rPr>
        <w:t xml:space="preserve"> New Zealand,</w:t>
      </w:r>
      <w:r w:rsidRPr="00691688">
        <w:rPr>
          <w:rStyle w:val="FootnoteReference"/>
          <w:rFonts w:cstheme="minorHAnsi"/>
        </w:rPr>
        <w:footnoteReference w:id="40"/>
      </w:r>
      <w:r w:rsidRPr="00691688">
        <w:rPr>
          <w:rFonts w:cstheme="minorHAnsi"/>
        </w:rPr>
        <w:t xml:space="preserve"> the Philippines,</w:t>
      </w:r>
      <w:r w:rsidRPr="00691688">
        <w:rPr>
          <w:rStyle w:val="FootnoteReference"/>
          <w:rFonts w:cstheme="minorHAnsi"/>
        </w:rPr>
        <w:footnoteReference w:id="41"/>
      </w:r>
      <w:r w:rsidRPr="00691688">
        <w:rPr>
          <w:rFonts w:cstheme="minorHAnsi"/>
        </w:rPr>
        <w:t xml:space="preserve"> South Korea,</w:t>
      </w:r>
      <w:r w:rsidRPr="00691688">
        <w:rPr>
          <w:rStyle w:val="FootnoteReference"/>
          <w:rFonts w:cstheme="minorHAnsi"/>
        </w:rPr>
        <w:footnoteReference w:id="42"/>
      </w:r>
      <w:r w:rsidRPr="00691688">
        <w:rPr>
          <w:rFonts w:cstheme="minorHAnsi"/>
        </w:rPr>
        <w:t xml:space="preserve"> Singapore</w:t>
      </w:r>
      <w:r w:rsidRPr="00691688">
        <w:rPr>
          <w:rStyle w:val="FootnoteReference"/>
          <w:rFonts w:cstheme="minorHAnsi"/>
        </w:rPr>
        <w:footnoteReference w:id="43"/>
      </w:r>
      <w:r w:rsidRPr="00691688">
        <w:rPr>
          <w:rFonts w:cstheme="minorHAnsi"/>
        </w:rPr>
        <w:t xml:space="preserve"> and Vanuatu.</w:t>
      </w:r>
      <w:r w:rsidRPr="00691688">
        <w:rPr>
          <w:rStyle w:val="FootnoteReference"/>
          <w:rFonts w:cstheme="minorHAnsi"/>
        </w:rPr>
        <w:footnoteReference w:id="44"/>
      </w:r>
      <w:r w:rsidRPr="00691688">
        <w:rPr>
          <w:rFonts w:cstheme="minorHAnsi"/>
        </w:rPr>
        <w:t xml:space="preserve">  Key trading partners such as the United Kingdom</w:t>
      </w:r>
      <w:r w:rsidRPr="00691688">
        <w:rPr>
          <w:rStyle w:val="FootnoteReference"/>
          <w:rFonts w:cstheme="minorHAnsi"/>
        </w:rPr>
        <w:footnoteReference w:id="45"/>
      </w:r>
      <w:r w:rsidRPr="00691688">
        <w:rPr>
          <w:rFonts w:cstheme="minorHAnsi"/>
        </w:rPr>
        <w:t xml:space="preserve"> and the United States of America</w:t>
      </w:r>
      <w:r w:rsidRPr="00691688">
        <w:rPr>
          <w:rStyle w:val="FootnoteReference"/>
          <w:rFonts w:cstheme="minorHAnsi"/>
        </w:rPr>
        <w:footnoteReference w:id="46"/>
      </w:r>
      <w:r w:rsidRPr="00691688">
        <w:rPr>
          <w:rFonts w:cstheme="minorHAnsi"/>
        </w:rPr>
        <w:t xml:space="preserve"> have also adopted it.  </w:t>
      </w:r>
    </w:p>
    <w:p w14:paraId="68E2A7AA" w14:textId="1BA868CC" w:rsidR="000E11D6" w:rsidRPr="00691688" w:rsidRDefault="000E11D6" w:rsidP="0032798C">
      <w:pPr>
        <w:spacing w:line="240" w:lineRule="auto"/>
        <w:jc w:val="both"/>
        <w:rPr>
          <w:rFonts w:cstheme="minorHAnsi"/>
        </w:rPr>
      </w:pPr>
      <w:r w:rsidRPr="00691688">
        <w:rPr>
          <w:rFonts w:cstheme="minorHAnsi"/>
        </w:rPr>
        <w:t xml:space="preserve">The mode of adoption has varied, with some enacting stand-alone legislation and others amending existing insolvency legislation. Some states have also modified the uniform text to greater or lesser </w:t>
      </w:r>
      <w:r w:rsidRPr="00691688">
        <w:rPr>
          <w:rFonts w:cstheme="minorHAnsi"/>
        </w:rPr>
        <w:lastRenderedPageBreak/>
        <w:t xml:space="preserve">extent through this process. </w:t>
      </w:r>
      <w:r w:rsidRPr="00691688">
        <w:rPr>
          <w:rFonts w:cstheme="minorHAnsi"/>
          <w:w w:val="0"/>
        </w:rPr>
        <w:t xml:space="preserve">Australia attached the 1997 Model Law as a Schedule to a stand-alone </w:t>
      </w:r>
      <w:r w:rsidRPr="00691688">
        <w:rPr>
          <w:rFonts w:cstheme="minorHAnsi"/>
          <w:i/>
          <w:iCs/>
          <w:w w:val="0"/>
        </w:rPr>
        <w:t xml:space="preserve">Cross-Border Insolvency Act 2008 </w:t>
      </w:r>
      <w:r w:rsidRPr="00691688">
        <w:rPr>
          <w:rFonts w:cstheme="minorHAnsi"/>
          <w:w w:val="0"/>
        </w:rPr>
        <w:t>(</w:t>
      </w:r>
      <w:proofErr w:type="spellStart"/>
      <w:r w:rsidRPr="00691688">
        <w:rPr>
          <w:rFonts w:cstheme="minorHAnsi"/>
          <w:w w:val="0"/>
        </w:rPr>
        <w:t>Cth</w:t>
      </w:r>
      <w:proofErr w:type="spellEnd"/>
      <w:r w:rsidRPr="00691688">
        <w:rPr>
          <w:rFonts w:cstheme="minorHAnsi"/>
          <w:w w:val="0"/>
        </w:rPr>
        <w:t xml:space="preserve">), </w:t>
      </w:r>
      <w:r w:rsidRPr="00691688">
        <w:rPr>
          <w:rFonts w:cstheme="minorHAnsi"/>
        </w:rPr>
        <w:t>making only the necessary changes to adapt it to the Australian context.</w:t>
      </w:r>
      <w:r w:rsidRPr="00691688">
        <w:rPr>
          <w:rStyle w:val="FootnoteReference"/>
          <w:rFonts w:cstheme="minorHAnsi"/>
        </w:rPr>
        <w:footnoteReference w:id="47"/>
      </w:r>
      <w:r w:rsidRPr="00691688">
        <w:rPr>
          <w:rFonts w:cstheme="minorHAnsi"/>
        </w:rPr>
        <w:t xml:space="preserve"> </w:t>
      </w:r>
    </w:p>
    <w:p w14:paraId="55AEEB88" w14:textId="10ADE5FD" w:rsidR="000E11D6" w:rsidRPr="00691688" w:rsidRDefault="000E11D6" w:rsidP="0032798C">
      <w:pPr>
        <w:spacing w:line="240" w:lineRule="auto"/>
        <w:jc w:val="both"/>
        <w:rPr>
          <w:rFonts w:cstheme="minorHAnsi"/>
        </w:rPr>
      </w:pPr>
      <w:r w:rsidRPr="00691688">
        <w:rPr>
          <w:rFonts w:cstheme="minorHAnsi"/>
        </w:rPr>
        <w:t>Essentially the Act provides:</w:t>
      </w:r>
    </w:p>
    <w:p w14:paraId="2450F100" w14:textId="57D89E47" w:rsidR="000E11D6" w:rsidRPr="00691688" w:rsidRDefault="000E11D6" w:rsidP="00851A1A">
      <w:pPr>
        <w:pStyle w:val="ListParagraph"/>
        <w:numPr>
          <w:ilvl w:val="0"/>
          <w:numId w:val="22"/>
        </w:numPr>
        <w:spacing w:line="240" w:lineRule="auto"/>
        <w:jc w:val="both"/>
        <w:rPr>
          <w:rFonts w:cstheme="minorHAnsi"/>
        </w:rPr>
      </w:pPr>
      <w:r w:rsidRPr="00691688">
        <w:rPr>
          <w:rFonts w:cstheme="minorHAnsi"/>
        </w:rPr>
        <w:t xml:space="preserve">for </w:t>
      </w:r>
      <w:r w:rsidRPr="00691688">
        <w:rPr>
          <w:rFonts w:cstheme="minorHAnsi"/>
          <w:b/>
          <w:bCs/>
        </w:rPr>
        <w:t>access</w:t>
      </w:r>
      <w:r w:rsidRPr="00691688">
        <w:rPr>
          <w:rFonts w:cstheme="minorHAnsi"/>
        </w:rPr>
        <w:t xml:space="preserve"> by foreign insolvency representatives or creditors to the relevant Australian courts;</w:t>
      </w:r>
      <w:r w:rsidRPr="00691688">
        <w:rPr>
          <w:rStyle w:val="FootnoteReference"/>
          <w:rFonts w:cstheme="minorHAnsi"/>
        </w:rPr>
        <w:footnoteReference w:id="48"/>
      </w:r>
      <w:r w:rsidRPr="00691688">
        <w:rPr>
          <w:rFonts w:cstheme="minorHAnsi"/>
        </w:rPr>
        <w:t xml:space="preserve"> </w:t>
      </w:r>
    </w:p>
    <w:p w14:paraId="394CE7E4" w14:textId="61ADAF9D" w:rsidR="000E11D6" w:rsidRPr="00691688" w:rsidRDefault="000E11D6" w:rsidP="00851A1A">
      <w:pPr>
        <w:pStyle w:val="ListParagraph"/>
        <w:numPr>
          <w:ilvl w:val="0"/>
          <w:numId w:val="22"/>
        </w:numPr>
        <w:spacing w:line="240" w:lineRule="auto"/>
        <w:jc w:val="both"/>
        <w:rPr>
          <w:rFonts w:cstheme="minorHAnsi"/>
        </w:rPr>
      </w:pPr>
      <w:r w:rsidRPr="00691688">
        <w:rPr>
          <w:rFonts w:cstheme="minorHAnsi"/>
        </w:rPr>
        <w:t xml:space="preserve">for </w:t>
      </w:r>
      <w:r w:rsidRPr="00691688">
        <w:rPr>
          <w:rFonts w:cstheme="minorHAnsi"/>
          <w:b/>
          <w:bCs/>
        </w:rPr>
        <w:t>recognition</w:t>
      </w:r>
      <w:r w:rsidRPr="00691688">
        <w:rPr>
          <w:rFonts w:cstheme="minorHAnsi"/>
        </w:rPr>
        <w:t xml:space="preserve"> of foreign insolvency proceedings and the granting of local </w:t>
      </w:r>
      <w:r w:rsidRPr="00691688">
        <w:rPr>
          <w:rFonts w:cstheme="minorHAnsi"/>
          <w:b/>
          <w:bCs/>
        </w:rPr>
        <w:t>relief</w:t>
      </w:r>
      <w:r w:rsidRPr="00691688">
        <w:rPr>
          <w:rFonts w:cstheme="minorHAnsi"/>
        </w:rPr>
        <w:t>; as well as</w:t>
      </w:r>
    </w:p>
    <w:p w14:paraId="6ABA9106" w14:textId="26DC4811" w:rsidR="000E11D6" w:rsidRPr="00691688" w:rsidRDefault="000E11D6" w:rsidP="00851A1A">
      <w:pPr>
        <w:pStyle w:val="ListParagraph"/>
        <w:numPr>
          <w:ilvl w:val="0"/>
          <w:numId w:val="22"/>
        </w:numPr>
        <w:spacing w:line="240" w:lineRule="auto"/>
        <w:jc w:val="both"/>
        <w:rPr>
          <w:rFonts w:cstheme="minorHAnsi"/>
        </w:rPr>
      </w:pPr>
      <w:r w:rsidRPr="00691688">
        <w:rPr>
          <w:rFonts w:cstheme="minorHAnsi"/>
        </w:rPr>
        <w:t xml:space="preserve">for </w:t>
      </w:r>
      <w:r w:rsidRPr="00691688">
        <w:rPr>
          <w:rFonts w:cstheme="minorHAnsi"/>
          <w:b/>
          <w:bCs/>
        </w:rPr>
        <w:t>cooperation and coordination</w:t>
      </w:r>
      <w:r w:rsidRPr="00691688">
        <w:rPr>
          <w:rFonts w:cstheme="minorHAnsi"/>
        </w:rPr>
        <w:t xml:space="preserve"> by local and foreign courts and insolvency representatives.  </w:t>
      </w:r>
    </w:p>
    <w:p w14:paraId="6942D4C3" w14:textId="36103108" w:rsidR="000E11D6" w:rsidRPr="00691688" w:rsidRDefault="000E11D6" w:rsidP="00851A1A">
      <w:pPr>
        <w:spacing w:line="240" w:lineRule="auto"/>
        <w:ind w:left="56"/>
        <w:jc w:val="both"/>
        <w:rPr>
          <w:rFonts w:cstheme="minorHAnsi"/>
        </w:rPr>
      </w:pPr>
      <w:r w:rsidRPr="00691688">
        <w:rPr>
          <w:rFonts w:cstheme="minorHAnsi"/>
        </w:rPr>
        <w:t>The Act is supplemented by Federal Court bankruptcy rules and harmonised corporations’ rules of the Federal Court</w:t>
      </w:r>
      <w:r w:rsidRPr="00691688">
        <w:rPr>
          <w:rStyle w:val="FootnoteReference"/>
          <w:rFonts w:cstheme="minorHAnsi"/>
        </w:rPr>
        <w:footnoteReference w:id="49"/>
      </w:r>
      <w:r w:rsidRPr="00691688">
        <w:rPr>
          <w:rFonts w:cstheme="minorHAnsi"/>
        </w:rPr>
        <w:t xml:space="preserve"> and Supreme Courts. This is addition to harmonised </w:t>
      </w:r>
      <w:r w:rsidRPr="00691688">
        <w:rPr>
          <w:rFonts w:cstheme="minorHAnsi"/>
          <w:lang w:val="en-GB"/>
        </w:rPr>
        <w:t>Court Practice Notes</w:t>
      </w:r>
      <w:r w:rsidRPr="00691688">
        <w:rPr>
          <w:rFonts w:cstheme="minorHAnsi"/>
        </w:rPr>
        <w:t xml:space="preserve"> of the Federal Court and some State and Territory Supreme </w:t>
      </w:r>
      <w:r w:rsidR="0083043D">
        <w:rPr>
          <w:rFonts w:cstheme="minorHAnsi"/>
        </w:rPr>
        <w:t xml:space="preserve">Courts </w:t>
      </w:r>
      <w:r w:rsidRPr="00691688">
        <w:rPr>
          <w:rFonts w:cstheme="minorHAnsi"/>
        </w:rPr>
        <w:t>on cross-border insolvency.</w:t>
      </w:r>
    </w:p>
    <w:p w14:paraId="49903E8A" w14:textId="63704C01" w:rsidR="000E11D6" w:rsidRPr="00691688" w:rsidRDefault="000E11D6" w:rsidP="0002680E">
      <w:pPr>
        <w:rPr>
          <w:rFonts w:cstheme="minorHAnsi"/>
          <w:shd w:val="clear" w:color="auto" w:fill="FFFFFF"/>
        </w:rPr>
      </w:pPr>
      <w:r w:rsidRPr="00691688">
        <w:rPr>
          <w:rFonts w:cstheme="minorHAnsi"/>
        </w:rPr>
        <w:t xml:space="preserve">These Practice Notes provide an opportunity to mention another WGV text, </w:t>
      </w:r>
      <w:r w:rsidRPr="00691688">
        <w:rPr>
          <w:rFonts w:cstheme="minorHAnsi"/>
          <w:shd w:val="clear" w:color="auto" w:fill="FFFFFF"/>
        </w:rPr>
        <w:t xml:space="preserve">the 2009 </w:t>
      </w:r>
      <w:r w:rsidRPr="00691688">
        <w:rPr>
          <w:rFonts w:cstheme="minorHAnsi"/>
          <w:b/>
          <w:bCs/>
          <w:shd w:val="clear" w:color="auto" w:fill="FFFFFF"/>
        </w:rPr>
        <w:t>Practice Guide on Cross-Border Insolvency Cooperation.</w:t>
      </w:r>
      <w:r w:rsidRPr="00691688">
        <w:rPr>
          <w:rStyle w:val="FootnoteReference"/>
          <w:rFonts w:cstheme="minorHAnsi"/>
          <w:shd w:val="clear" w:color="auto" w:fill="FFFFFF"/>
        </w:rPr>
        <w:footnoteReference w:id="50"/>
      </w:r>
      <w:r w:rsidRPr="00691688">
        <w:rPr>
          <w:rFonts w:cstheme="minorHAnsi"/>
          <w:shd w:val="clear" w:color="auto" w:fill="FFFFFF"/>
        </w:rPr>
        <w:t xml:space="preserve"> Its purpose is to inform insolvency practitioners and judges on practical aspects of </w:t>
      </w:r>
      <w:r w:rsidRPr="00691688">
        <w:rPr>
          <w:rFonts w:cstheme="minorHAnsi"/>
          <w:b/>
          <w:bCs/>
          <w:shd w:val="clear" w:color="auto" w:fill="FFFFFF"/>
        </w:rPr>
        <w:t>cooperation and communication</w:t>
      </w:r>
      <w:r w:rsidRPr="00691688">
        <w:rPr>
          <w:rFonts w:cstheme="minorHAnsi"/>
          <w:shd w:val="clear" w:color="auto" w:fill="FFFFFF"/>
        </w:rPr>
        <w:t xml:space="preserve"> in concurrent cases. In particular, it provides useful information on implementing Articles 25 and 27 of the 1997 ML.  The 2009 Practice Guide (or its penultimate draft) is specifically mentioned in:</w:t>
      </w:r>
    </w:p>
    <w:p w14:paraId="3DBBFDF0" w14:textId="624BB43A" w:rsidR="000E11D6" w:rsidRPr="00691688" w:rsidRDefault="000E11D6" w:rsidP="0002680E">
      <w:pPr>
        <w:pStyle w:val="ListParagraph"/>
        <w:numPr>
          <w:ilvl w:val="0"/>
          <w:numId w:val="19"/>
        </w:numPr>
        <w:rPr>
          <w:rFonts w:cstheme="minorHAnsi"/>
          <w:shd w:val="clear" w:color="auto" w:fill="FFFFFF"/>
        </w:rPr>
      </w:pPr>
      <w:r w:rsidRPr="00691688">
        <w:rPr>
          <w:rFonts w:cstheme="minorHAnsi"/>
          <w:shd w:val="clear" w:color="auto" w:fill="FFFFFF"/>
        </w:rPr>
        <w:t>The Federal Court’s Cross-Border Insolvency Practice Note on Cooperation with Foreign Courts and Foreign Representatives (2016)</w:t>
      </w:r>
      <w:r w:rsidRPr="00691688">
        <w:rPr>
          <w:rStyle w:val="FootnoteReference"/>
          <w:rFonts w:cstheme="minorHAnsi"/>
          <w:shd w:val="clear" w:color="auto" w:fill="FFFFFF"/>
        </w:rPr>
        <w:footnoteReference w:id="51"/>
      </w:r>
      <w:r w:rsidRPr="00691688">
        <w:rPr>
          <w:rFonts w:cstheme="minorHAnsi"/>
          <w:shd w:val="clear" w:color="auto" w:fill="FFFFFF"/>
        </w:rPr>
        <w:t xml:space="preserve"> and </w:t>
      </w:r>
    </w:p>
    <w:p w14:paraId="7009B6CD" w14:textId="77777777" w:rsidR="000E11D6" w:rsidRPr="00691688" w:rsidRDefault="000E11D6" w:rsidP="0002680E">
      <w:pPr>
        <w:pStyle w:val="ListParagraph"/>
        <w:numPr>
          <w:ilvl w:val="0"/>
          <w:numId w:val="19"/>
        </w:numPr>
        <w:rPr>
          <w:rFonts w:cstheme="minorHAnsi"/>
          <w:shd w:val="clear" w:color="auto" w:fill="FFFFFF"/>
        </w:rPr>
      </w:pPr>
      <w:r w:rsidRPr="00691688">
        <w:rPr>
          <w:rFonts w:cstheme="minorHAnsi"/>
          <w:lang w:val="en-US" w:eastAsia="en-AU"/>
        </w:rPr>
        <w:t>Practice Notes issued by the Supreme Courts in NSW;</w:t>
      </w:r>
      <w:r w:rsidRPr="00691688">
        <w:rPr>
          <w:rStyle w:val="FootnoteReference"/>
          <w:rFonts w:cstheme="minorHAnsi"/>
          <w:lang w:val="en-US" w:eastAsia="en-AU"/>
        </w:rPr>
        <w:footnoteReference w:id="52"/>
      </w:r>
      <w:r w:rsidRPr="00691688">
        <w:rPr>
          <w:rFonts w:cstheme="minorHAnsi"/>
          <w:lang w:val="en-US" w:eastAsia="en-AU"/>
        </w:rPr>
        <w:t xml:space="preserve"> </w:t>
      </w:r>
      <w:r w:rsidRPr="00691688">
        <w:rPr>
          <w:rFonts w:cstheme="minorHAnsi"/>
          <w:lang w:val="en-US"/>
        </w:rPr>
        <w:t>Victoria;</w:t>
      </w:r>
      <w:r w:rsidRPr="00691688">
        <w:rPr>
          <w:rStyle w:val="FootnoteReference"/>
          <w:rFonts w:cstheme="minorHAnsi"/>
          <w:lang w:val="en-US"/>
        </w:rPr>
        <w:footnoteReference w:id="53"/>
      </w:r>
      <w:r w:rsidRPr="00691688">
        <w:rPr>
          <w:rFonts w:cstheme="minorHAnsi"/>
          <w:lang w:val="en-US"/>
        </w:rPr>
        <w:t xml:space="preserve"> </w:t>
      </w:r>
      <w:r w:rsidRPr="00691688">
        <w:rPr>
          <w:rFonts w:cstheme="minorHAnsi"/>
        </w:rPr>
        <w:t>Tasmania;</w:t>
      </w:r>
      <w:r w:rsidRPr="00691688">
        <w:rPr>
          <w:rStyle w:val="FootnoteReference"/>
          <w:rFonts w:cstheme="minorHAnsi"/>
        </w:rPr>
        <w:footnoteReference w:id="54"/>
      </w:r>
      <w:r w:rsidRPr="00691688">
        <w:rPr>
          <w:rFonts w:cstheme="minorHAnsi"/>
        </w:rPr>
        <w:t xml:space="preserve"> Western Australia;</w:t>
      </w:r>
      <w:r w:rsidRPr="00691688">
        <w:rPr>
          <w:rStyle w:val="FootnoteReference"/>
          <w:rFonts w:cstheme="minorHAnsi"/>
        </w:rPr>
        <w:footnoteReference w:id="55"/>
      </w:r>
      <w:r w:rsidRPr="00691688">
        <w:rPr>
          <w:rFonts w:cstheme="minorHAnsi"/>
        </w:rPr>
        <w:t xml:space="preserve"> and the Northern Territory.</w:t>
      </w:r>
      <w:r w:rsidRPr="00691688">
        <w:rPr>
          <w:rStyle w:val="FootnoteReference"/>
          <w:rFonts w:cstheme="minorHAnsi"/>
        </w:rPr>
        <w:footnoteReference w:id="56"/>
      </w:r>
      <w:r w:rsidRPr="00691688">
        <w:rPr>
          <w:rFonts w:cstheme="minorHAnsi"/>
        </w:rPr>
        <w:t xml:space="preserve">  </w:t>
      </w:r>
    </w:p>
    <w:p w14:paraId="1C365449" w14:textId="184D6E50" w:rsidR="000E11D6" w:rsidRPr="00691688" w:rsidRDefault="000E11D6" w:rsidP="00A67BDD">
      <w:pPr>
        <w:rPr>
          <w:rFonts w:eastAsia="Arial" w:cstheme="minorHAnsi"/>
        </w:rPr>
      </w:pPr>
      <w:r w:rsidRPr="00691688">
        <w:rPr>
          <w:rFonts w:eastAsia="Arial" w:cstheme="minorHAnsi"/>
          <w:b/>
          <w:bCs/>
        </w:rPr>
        <w:lastRenderedPageBreak/>
        <w:t>Note</w:t>
      </w:r>
      <w:r w:rsidRPr="00691688">
        <w:rPr>
          <w:rFonts w:eastAsia="Arial" w:cstheme="minorHAnsi"/>
        </w:rPr>
        <w:t xml:space="preserve"> that in respect of judicial cooperation the old ‘letter of request’ provisions in section 29 of the </w:t>
      </w:r>
      <w:r w:rsidRPr="00691688">
        <w:rPr>
          <w:rFonts w:eastAsia="Arial" w:cstheme="minorHAnsi"/>
          <w:i/>
          <w:iCs/>
        </w:rPr>
        <w:t xml:space="preserve">Bankruptcy Act </w:t>
      </w:r>
      <w:r w:rsidRPr="00691688">
        <w:rPr>
          <w:rFonts w:eastAsia="Arial" w:cstheme="minorHAnsi"/>
        </w:rPr>
        <w:t xml:space="preserve">and sections 580-581 of the </w:t>
      </w:r>
      <w:r w:rsidRPr="00691688">
        <w:rPr>
          <w:rFonts w:eastAsia="Arial" w:cstheme="minorHAnsi"/>
          <w:i/>
          <w:iCs/>
        </w:rPr>
        <w:t xml:space="preserve">Corporations Act </w:t>
      </w:r>
      <w:r w:rsidRPr="00691688">
        <w:rPr>
          <w:rFonts w:eastAsia="Arial" w:cstheme="minorHAnsi"/>
        </w:rPr>
        <w:t>still apply and are used,</w:t>
      </w:r>
      <w:r w:rsidRPr="00691688">
        <w:rPr>
          <w:rStyle w:val="FootnoteReference"/>
          <w:rFonts w:eastAsia="Arial" w:cstheme="minorHAnsi"/>
        </w:rPr>
        <w:footnoteReference w:id="57"/>
      </w:r>
      <w:r w:rsidRPr="00691688">
        <w:rPr>
          <w:rFonts w:eastAsia="Arial" w:cstheme="minorHAnsi"/>
        </w:rPr>
        <w:t xml:space="preserve"> for example where the ML does not apply to the relevant ‘foreign proceeding’.</w:t>
      </w:r>
      <w:r w:rsidRPr="00691688">
        <w:rPr>
          <w:rStyle w:val="FootnoteReference"/>
          <w:rFonts w:eastAsia="Arial" w:cstheme="minorHAnsi"/>
        </w:rPr>
        <w:footnoteReference w:id="58"/>
      </w:r>
      <w:r w:rsidRPr="00691688">
        <w:rPr>
          <w:rFonts w:eastAsia="Arial" w:cstheme="minorHAnsi"/>
        </w:rPr>
        <w:t xml:space="preserve"> </w:t>
      </w:r>
    </w:p>
    <w:p w14:paraId="1A490F5C" w14:textId="25FE2289" w:rsidR="000E11D6" w:rsidRPr="00691688" w:rsidRDefault="000E11D6" w:rsidP="00A67BDD">
      <w:pPr>
        <w:rPr>
          <w:rFonts w:eastAsia="Arial" w:cstheme="minorHAnsi"/>
        </w:rPr>
      </w:pPr>
      <w:r w:rsidRPr="00691688">
        <w:rPr>
          <w:rFonts w:eastAsia="Arial" w:cstheme="minorHAnsi"/>
        </w:rPr>
        <w:t xml:space="preserve">Commenting more broadly on the pre-existing law, Chief Justice Allsop in </w:t>
      </w:r>
      <w:r w:rsidRPr="00691688">
        <w:rPr>
          <w:rFonts w:cstheme="minorHAnsi"/>
          <w:i/>
          <w:iCs/>
          <w:shd w:val="clear" w:color="auto" w:fill="FFFFFF"/>
        </w:rPr>
        <w:t>Akers as a joint foreign representative of Saad Investments Company Limited (in Official Liquidation) v Deputy Commissioner of Taxation</w:t>
      </w:r>
      <w:r w:rsidRPr="00691688">
        <w:rPr>
          <w:rFonts w:cstheme="minorHAnsi"/>
          <w:shd w:val="clear" w:color="auto" w:fill="FFFFFF"/>
        </w:rPr>
        <w:t xml:space="preserve"> [2014] FCAFC 57, at [69] noted:</w:t>
      </w:r>
    </w:p>
    <w:p w14:paraId="7FDEF7D6" w14:textId="4DC823FA" w:rsidR="000E11D6" w:rsidRPr="00691688" w:rsidRDefault="000E11D6" w:rsidP="00A67BDD">
      <w:pPr>
        <w:ind w:left="720"/>
        <w:rPr>
          <w:rFonts w:cstheme="minorHAnsi"/>
        </w:rPr>
      </w:pPr>
      <w:r w:rsidRPr="00691688">
        <w:rPr>
          <w:rFonts w:cstheme="minorHAnsi"/>
        </w:rPr>
        <w:t>[69] T</w:t>
      </w:r>
      <w:r w:rsidRPr="00691688">
        <w:rPr>
          <w:rFonts w:cstheme="minorHAnsi"/>
          <w:color w:val="333333"/>
          <w:shd w:val="clear" w:color="auto" w:fill="FFFFFF"/>
        </w:rPr>
        <w:t>he place of the pre-existing law in the resolution of any dispute that now involves the operation of the CBI Act and the Model Law depends on the nature and content of that previous law. To the extent that any such pre-existing law is contrary to a provision of the CBI Act or the Model Law, it would be superseded. Further, an operative principle would need to conform with the principles that underpin the Model Law. When the question of relief to be granted arises, foreign cases upon the Model Law will, of course, be relevant: see Art 8; but also will be local cases on pre-existing law to the extent that they are conformable with the operation of the Model Law and its aims and purposes.</w:t>
      </w:r>
    </w:p>
    <w:p w14:paraId="615BD792" w14:textId="77777777" w:rsidR="000E11D6" w:rsidRPr="00691688" w:rsidRDefault="000E11D6" w:rsidP="00FC0647">
      <w:pPr>
        <w:rPr>
          <w:rFonts w:eastAsia="Arial" w:cstheme="minorHAnsi"/>
        </w:rPr>
      </w:pPr>
      <w:r w:rsidRPr="00691688">
        <w:rPr>
          <w:rFonts w:eastAsia="Arial" w:cstheme="minorHAnsi"/>
        </w:rPr>
        <w:t xml:space="preserve">Article 8 of the Model Law requires that in its interpretation, regard is to be had to its international origin and to the need to promote uniformity in its application and the observance of good faith.  </w:t>
      </w:r>
    </w:p>
    <w:p w14:paraId="1B69DEDF" w14:textId="1FEB226F" w:rsidR="000E11D6" w:rsidRPr="00691688" w:rsidRDefault="00AE041C" w:rsidP="00FC0647">
      <w:pPr>
        <w:rPr>
          <w:rFonts w:cstheme="minorHAnsi"/>
        </w:rPr>
      </w:pPr>
      <w:r>
        <w:rPr>
          <w:rFonts w:cstheme="minorHAnsi"/>
          <w:shd w:val="clear" w:color="auto" w:fill="FFFFFF"/>
        </w:rPr>
        <w:t>S</w:t>
      </w:r>
      <w:r w:rsidR="007A020B">
        <w:rPr>
          <w:rFonts w:cstheme="minorHAnsi"/>
          <w:shd w:val="clear" w:color="auto" w:fill="FFFFFF"/>
        </w:rPr>
        <w:t>uppo</w:t>
      </w:r>
      <w:r>
        <w:rPr>
          <w:rFonts w:cstheme="minorHAnsi"/>
          <w:shd w:val="clear" w:color="auto" w:fill="FFFFFF"/>
        </w:rPr>
        <w:t>r</w:t>
      </w:r>
      <w:r w:rsidR="007A020B">
        <w:rPr>
          <w:rFonts w:cstheme="minorHAnsi"/>
          <w:shd w:val="clear" w:color="auto" w:fill="FFFFFF"/>
        </w:rPr>
        <w:t>t</w:t>
      </w:r>
      <w:r>
        <w:rPr>
          <w:rFonts w:cstheme="minorHAnsi"/>
          <w:shd w:val="clear" w:color="auto" w:fill="FFFFFF"/>
        </w:rPr>
        <w:t xml:space="preserve">ing </w:t>
      </w:r>
      <w:r w:rsidR="00E71606">
        <w:rPr>
          <w:rFonts w:cstheme="minorHAnsi"/>
          <w:shd w:val="clear" w:color="auto" w:fill="FFFFFF"/>
        </w:rPr>
        <w:t>such an A</w:t>
      </w:r>
      <w:r w:rsidR="007A020B">
        <w:rPr>
          <w:rFonts w:cstheme="minorHAnsi"/>
          <w:shd w:val="clear" w:color="auto" w:fill="FFFFFF"/>
        </w:rPr>
        <w:t xml:space="preserve">rticle, </w:t>
      </w:r>
      <w:r w:rsidR="000E11D6" w:rsidRPr="00691688">
        <w:rPr>
          <w:rFonts w:cstheme="minorHAnsi"/>
          <w:shd w:val="clear" w:color="auto" w:fill="FFFFFF"/>
        </w:rPr>
        <w:t xml:space="preserve">the UNCITRAL Secretariat has established a system called CLOUT - </w:t>
      </w:r>
      <w:r w:rsidR="000E11D6" w:rsidRPr="00691688">
        <w:rPr>
          <w:rFonts w:eastAsia="Arial" w:cstheme="minorHAnsi"/>
        </w:rPr>
        <w:t xml:space="preserve">Case Law on UNCITRAL texts (CLOUT) </w:t>
      </w:r>
      <w:r w:rsidR="000E11D6" w:rsidRPr="00691688">
        <w:rPr>
          <w:rFonts w:cstheme="minorHAnsi"/>
          <w:shd w:val="clear" w:color="auto" w:fill="FFFFFF"/>
        </w:rPr>
        <w:t xml:space="preserve">to collect and disseminate information on court decisions and arbitral awards relating to </w:t>
      </w:r>
      <w:r w:rsidR="00A707F5" w:rsidRPr="00691688">
        <w:rPr>
          <w:rFonts w:cstheme="minorHAnsi"/>
          <w:shd w:val="clear" w:color="auto" w:fill="FFFFFF"/>
        </w:rPr>
        <w:t xml:space="preserve">UNCITRAL </w:t>
      </w:r>
      <w:r w:rsidR="000E11D6" w:rsidRPr="00691688">
        <w:rPr>
          <w:rFonts w:cstheme="minorHAnsi"/>
          <w:shd w:val="clear" w:color="auto" w:fill="FFFFFF"/>
        </w:rPr>
        <w:t>Conventions and Model Laws</w:t>
      </w:r>
      <w:r w:rsidR="000E11D6" w:rsidRPr="00691688">
        <w:rPr>
          <w:rFonts w:eastAsia="Arial" w:cstheme="minorHAnsi"/>
        </w:rPr>
        <w:t>.</w:t>
      </w:r>
      <w:r w:rsidR="000E11D6" w:rsidRPr="00691688">
        <w:rPr>
          <w:rStyle w:val="FootnoteReference"/>
          <w:rFonts w:eastAsia="Arial" w:cstheme="minorHAnsi"/>
        </w:rPr>
        <w:footnoteReference w:id="59"/>
      </w:r>
      <w:r w:rsidR="000E11D6" w:rsidRPr="00691688">
        <w:rPr>
          <w:rFonts w:eastAsia="Arial" w:cstheme="minorHAnsi"/>
        </w:rPr>
        <w:t xml:space="preserve"> Its</w:t>
      </w:r>
      <w:r w:rsidR="000E11D6" w:rsidRPr="00691688">
        <w:rPr>
          <w:rFonts w:cstheme="minorHAnsi"/>
          <w:shd w:val="clear" w:color="auto" w:fill="FFFFFF"/>
        </w:rPr>
        <w:t xml:space="preserve"> purpose is to promote international awareness of UNCITRAL’s legal texts and to facilitate uniform interpretation and application of those texts.  A</w:t>
      </w:r>
      <w:r w:rsidR="00BA413A">
        <w:rPr>
          <w:rFonts w:cstheme="minorHAnsi"/>
          <w:shd w:val="clear" w:color="auto" w:fill="FFFFFF"/>
        </w:rPr>
        <w:t xml:space="preserve">nother </w:t>
      </w:r>
      <w:r w:rsidR="000E11D6" w:rsidRPr="00691688">
        <w:rPr>
          <w:rFonts w:cstheme="minorHAnsi"/>
          <w:shd w:val="clear" w:color="auto" w:fill="FFFFFF"/>
        </w:rPr>
        <w:t>UNCCA</w:t>
      </w:r>
      <w:r w:rsidR="00BA413A">
        <w:rPr>
          <w:rFonts w:cstheme="minorHAnsi"/>
          <w:shd w:val="clear" w:color="auto" w:fill="FFFFFF"/>
        </w:rPr>
        <w:t xml:space="preserve"> colleague</w:t>
      </w:r>
      <w:r w:rsidR="000E11D6" w:rsidRPr="00691688">
        <w:rPr>
          <w:rFonts w:cstheme="minorHAnsi"/>
          <w:shd w:val="clear" w:color="auto" w:fill="FFFFFF"/>
        </w:rPr>
        <w:t xml:space="preserve">, </w:t>
      </w:r>
      <w:r w:rsidR="000E11D6" w:rsidRPr="00691688">
        <w:rPr>
          <w:rFonts w:cstheme="minorHAnsi"/>
        </w:rPr>
        <w:t xml:space="preserve">Stewart Maiden QC based in Victoria, is the </w:t>
      </w:r>
      <w:r w:rsidR="0059124D" w:rsidRPr="00691688">
        <w:rPr>
          <w:rFonts w:cstheme="minorHAnsi"/>
        </w:rPr>
        <w:t>Australia</w:t>
      </w:r>
      <w:r w:rsidR="0059124D">
        <w:rPr>
          <w:rFonts w:cstheme="minorHAnsi"/>
        </w:rPr>
        <w:t>n insolvency</w:t>
      </w:r>
      <w:r w:rsidR="000E11D6" w:rsidRPr="00691688">
        <w:rPr>
          <w:rFonts w:cstheme="minorHAnsi"/>
        </w:rPr>
        <w:t xml:space="preserve"> correspondent for </w:t>
      </w:r>
      <w:r w:rsidR="0059124D" w:rsidRPr="00691688">
        <w:rPr>
          <w:rFonts w:cstheme="minorHAnsi"/>
        </w:rPr>
        <w:t>CLOUT</w:t>
      </w:r>
      <w:r w:rsidR="000E11D6" w:rsidRPr="00691688">
        <w:rPr>
          <w:rFonts w:cstheme="minorHAnsi"/>
        </w:rPr>
        <w:t xml:space="preserve">.  </w:t>
      </w:r>
    </w:p>
    <w:p w14:paraId="603455FB" w14:textId="77777777" w:rsidR="000E11D6" w:rsidRPr="00691688" w:rsidRDefault="000E11D6" w:rsidP="00DF1A7F">
      <w:pPr>
        <w:rPr>
          <w:rFonts w:cstheme="minorHAnsi"/>
          <w:lang w:eastAsia="en-AU"/>
        </w:rPr>
      </w:pPr>
    </w:p>
    <w:p w14:paraId="51503889" w14:textId="1FABFCAB" w:rsidR="000E11D6" w:rsidRPr="00691688" w:rsidRDefault="000E11D6" w:rsidP="00DF1A7F">
      <w:pPr>
        <w:rPr>
          <w:rFonts w:cstheme="minorHAnsi"/>
          <w:lang w:eastAsia="en-AU"/>
        </w:rPr>
      </w:pPr>
      <w:r w:rsidRPr="00691688">
        <w:rPr>
          <w:rFonts w:cstheme="minorHAnsi"/>
          <w:lang w:eastAsia="en-AU"/>
        </w:rPr>
        <w:t>An important aspect to the ML is that, as drafted,</w:t>
      </w:r>
      <w:r w:rsidRPr="00691688">
        <w:rPr>
          <w:rStyle w:val="FootnoteReference"/>
          <w:rFonts w:cstheme="minorHAnsi"/>
          <w:lang w:eastAsia="en-AU"/>
        </w:rPr>
        <w:footnoteReference w:id="60"/>
      </w:r>
      <w:r w:rsidRPr="00691688">
        <w:rPr>
          <w:rFonts w:cstheme="minorHAnsi"/>
          <w:lang w:eastAsia="en-AU"/>
        </w:rPr>
        <w:t xml:space="preserve"> it is not based on the principle of reciprocity between States. There is no requirement for a foreign representative seeking to rely upon the Model Law to have been appointed under the law of a state which has itself adopted the Model Law.</w:t>
      </w:r>
      <w:r w:rsidRPr="00691688">
        <w:rPr>
          <w:rStyle w:val="FootnoteReference"/>
          <w:rFonts w:cstheme="minorHAnsi"/>
          <w:lang w:eastAsia="en-AU"/>
        </w:rPr>
        <w:footnoteReference w:id="61"/>
      </w:r>
      <w:r w:rsidRPr="00691688">
        <w:rPr>
          <w:rFonts w:cstheme="minorHAnsi"/>
          <w:lang w:eastAsia="en-AU"/>
        </w:rPr>
        <w:t xml:space="preserve"> </w:t>
      </w:r>
    </w:p>
    <w:p w14:paraId="54E603F9" w14:textId="08C97480" w:rsidR="000E11D6" w:rsidRPr="00691688" w:rsidRDefault="000E11D6" w:rsidP="00AC2AAE">
      <w:pPr>
        <w:spacing w:before="240" w:after="288"/>
        <w:rPr>
          <w:rFonts w:cstheme="minorHAnsi"/>
          <w:lang w:eastAsia="en-AU"/>
        </w:rPr>
      </w:pPr>
      <w:r w:rsidRPr="00691688">
        <w:rPr>
          <w:rFonts w:cstheme="minorHAnsi"/>
          <w:lang w:eastAsia="en-AU"/>
        </w:rPr>
        <w:t>The Model Law adopts an approach termed ‘</w:t>
      </w:r>
      <w:r w:rsidRPr="00691688">
        <w:rPr>
          <w:rFonts w:cstheme="minorHAnsi"/>
          <w:b/>
          <w:bCs/>
          <w:lang w:eastAsia="en-AU"/>
        </w:rPr>
        <w:t>modified universalism’</w:t>
      </w:r>
      <w:r w:rsidRPr="00691688">
        <w:rPr>
          <w:rFonts w:cstheme="minorHAnsi"/>
          <w:lang w:eastAsia="en-AU"/>
        </w:rPr>
        <w:t>,</w:t>
      </w:r>
      <w:r w:rsidRPr="00691688">
        <w:rPr>
          <w:rStyle w:val="FootnoteReference"/>
          <w:rFonts w:cstheme="minorHAnsi"/>
          <w:lang w:eastAsia="en-AU"/>
        </w:rPr>
        <w:footnoteReference w:id="62"/>
      </w:r>
      <w:r w:rsidRPr="00691688">
        <w:rPr>
          <w:rFonts w:cstheme="minorHAnsi"/>
          <w:lang w:eastAsia="en-AU"/>
        </w:rPr>
        <w:t xml:space="preserve"> described by Chief Justice Allsop as one in which a local court </w:t>
      </w:r>
      <w:r w:rsidRPr="00691688">
        <w:rPr>
          <w:rFonts w:cstheme="minorHAnsi"/>
          <w:color w:val="000000" w:themeColor="text1"/>
          <w:lang w:eastAsia="en-AU"/>
        </w:rPr>
        <w:t>“</w:t>
      </w:r>
      <w:r w:rsidRPr="00691688">
        <w:rPr>
          <w:rFonts w:cstheme="minorHAnsi"/>
          <w:color w:val="000000" w:themeColor="text1"/>
          <w:shd w:val="clear" w:color="auto" w:fill="FFFFFF"/>
        </w:rPr>
        <w:t>extends a degree of co-operation to foreign insolvency proceedings whilst also protecting local interests</w:t>
      </w:r>
      <w:r w:rsidRPr="00691688">
        <w:rPr>
          <w:rFonts w:cstheme="minorHAnsi"/>
          <w:color w:val="000000" w:themeColor="text1"/>
          <w:lang w:eastAsia="en-AU"/>
        </w:rPr>
        <w:t>”</w:t>
      </w:r>
      <w:r w:rsidRPr="00691688">
        <w:rPr>
          <w:rFonts w:cstheme="minorHAnsi"/>
          <w:lang w:eastAsia="en-AU"/>
        </w:rPr>
        <w:t>.</w:t>
      </w:r>
      <w:r w:rsidRPr="00691688">
        <w:rPr>
          <w:rStyle w:val="FootnoteReference"/>
          <w:rFonts w:cstheme="minorHAnsi"/>
          <w:lang w:eastAsia="en-AU"/>
        </w:rPr>
        <w:footnoteReference w:id="63"/>
      </w:r>
      <w:r w:rsidRPr="00691688">
        <w:rPr>
          <w:rFonts w:cstheme="minorHAnsi"/>
          <w:lang w:eastAsia="en-AU"/>
        </w:rPr>
        <w:t xml:space="preserve"> </w:t>
      </w:r>
    </w:p>
    <w:p w14:paraId="73CFB022" w14:textId="20E2FD70" w:rsidR="000E11D6" w:rsidRPr="00691688" w:rsidRDefault="000E11D6" w:rsidP="00AC2AAE">
      <w:pPr>
        <w:rPr>
          <w:rFonts w:eastAsia="Arial" w:cstheme="minorHAnsi"/>
        </w:rPr>
      </w:pPr>
      <w:r w:rsidRPr="00691688">
        <w:rPr>
          <w:rFonts w:eastAsia="Arial" w:cstheme="minorHAnsi"/>
        </w:rPr>
        <w:t xml:space="preserve">Depending upon the debtor’s connection with the foreign jurisdiction, recognition of foreign insolvency proceedings may result in an automatic stay on Australian proceedings and suspend power to deal with the debtor’s assets.  Examples of discretionary relief available are an order </w:t>
      </w:r>
      <w:r w:rsidRPr="00691688">
        <w:rPr>
          <w:rFonts w:eastAsia="Arial" w:cstheme="minorHAnsi"/>
        </w:rPr>
        <w:lastRenderedPageBreak/>
        <w:t>authorising the foreign representative to examine witnesses in Australia or an order entrusting the foreign representative with the administration of the debtor’s Australian assets.</w:t>
      </w:r>
    </w:p>
    <w:p w14:paraId="0405A74F" w14:textId="4DCE2086" w:rsidR="000E11D6" w:rsidRPr="00691688" w:rsidRDefault="000E11D6" w:rsidP="00312389">
      <w:pPr>
        <w:pStyle w:val="Heading5"/>
        <w:spacing w:after="160" w:line="240" w:lineRule="auto"/>
        <w:rPr>
          <w:rFonts w:asciiTheme="minorHAnsi" w:eastAsia="Arial" w:hAnsiTheme="minorHAnsi" w:cstheme="minorHAnsi"/>
          <w:b/>
          <w:bCs/>
          <w:color w:val="auto"/>
        </w:rPr>
      </w:pPr>
      <w:bookmarkStart w:id="1" w:name="Heading117"/>
      <w:bookmarkStart w:id="2" w:name="io1454601sl281483039"/>
      <w:bookmarkStart w:id="3" w:name="d4e173273"/>
      <w:bookmarkEnd w:id="1"/>
      <w:bookmarkEnd w:id="2"/>
      <w:bookmarkEnd w:id="3"/>
      <w:r w:rsidRPr="00691688">
        <w:rPr>
          <w:rFonts w:asciiTheme="minorHAnsi" w:eastAsia="Arial" w:hAnsiTheme="minorHAnsi" w:cstheme="minorHAnsi"/>
          <w:b/>
          <w:bCs/>
          <w:color w:val="auto"/>
        </w:rPr>
        <w:t>One aspect of the 1997 ML on which I will comment briefly is this principle of cooperation and coordination by Australian insolvency courts with foreign courts and foreign representatives.</w:t>
      </w:r>
    </w:p>
    <w:p w14:paraId="3B582630" w14:textId="4AF11D97" w:rsidR="000E11D6" w:rsidRPr="00691688" w:rsidRDefault="000E11D6" w:rsidP="00AC2AAE">
      <w:pPr>
        <w:rPr>
          <w:rFonts w:eastAsia="Arial" w:cstheme="minorHAnsi"/>
        </w:rPr>
      </w:pPr>
      <w:r w:rsidRPr="00691688">
        <w:rPr>
          <w:rFonts w:eastAsia="Arial" w:cstheme="minorHAnsi"/>
        </w:rPr>
        <w:t>In matters within the ML’s scope, Australian insolvency courts are required by Article 25 to cooperate to the maximum extent possible with foreign courts or foreign.  Unusually for Australian practice, it authorises direct communication by the Australian court.</w:t>
      </w:r>
      <w:r w:rsidRPr="00691688">
        <w:rPr>
          <w:rStyle w:val="FootnoteReference"/>
          <w:rFonts w:eastAsia="Arial" w:cstheme="minorHAnsi"/>
        </w:rPr>
        <w:footnoteReference w:id="64"/>
      </w:r>
      <w:r w:rsidRPr="00691688">
        <w:rPr>
          <w:rFonts w:eastAsia="Arial" w:cstheme="minorHAnsi"/>
        </w:rPr>
        <w:t xml:space="preserve">  </w:t>
      </w:r>
    </w:p>
    <w:p w14:paraId="1A109973" w14:textId="3F77A5DA" w:rsidR="000E11D6" w:rsidRPr="00691688" w:rsidRDefault="000E11D6" w:rsidP="00AC2AAE">
      <w:pPr>
        <w:rPr>
          <w:rFonts w:cstheme="minorHAnsi"/>
          <w:lang w:val="en" w:eastAsia="en-AU"/>
        </w:rPr>
      </w:pPr>
      <w:r w:rsidRPr="00691688">
        <w:rPr>
          <w:rFonts w:cstheme="minorHAnsi"/>
          <w:lang w:val="en" w:eastAsia="en-AU"/>
        </w:rPr>
        <w:t>A current matter before Justice Gleeson potentially involves a request by the Federal Court of Australia to the New Zealand High Court (NZHC) that there be a joint hearing of those courts in respect of applications relating to the pooling of various funds held by companies subject to Australian and New Zealand liquidations, respectively.</w:t>
      </w:r>
      <w:r w:rsidRPr="00691688">
        <w:rPr>
          <w:rStyle w:val="FootnoteReference"/>
          <w:rFonts w:cstheme="minorHAnsi"/>
          <w:lang w:val="en" w:eastAsia="en-AU"/>
        </w:rPr>
        <w:footnoteReference w:id="65"/>
      </w:r>
      <w:r w:rsidRPr="00691688">
        <w:rPr>
          <w:rFonts w:cstheme="minorHAnsi"/>
          <w:lang w:val="en" w:eastAsia="en-AU"/>
        </w:rPr>
        <w:t xml:space="preserve"> Those companies include an Australian incorporated parent and a New Zealand incorporated subsidiary.</w:t>
      </w:r>
      <w:r w:rsidRPr="00691688">
        <w:rPr>
          <w:rStyle w:val="FootnoteReference"/>
          <w:rFonts w:cstheme="minorHAnsi"/>
          <w:lang w:val="en" w:eastAsia="en-AU"/>
        </w:rPr>
        <w:footnoteReference w:id="66"/>
      </w:r>
      <w:r w:rsidRPr="00691688">
        <w:rPr>
          <w:rFonts w:cstheme="minorHAnsi"/>
          <w:lang w:val="en" w:eastAsia="en-AU"/>
        </w:rPr>
        <w:t xml:space="preserve"> The letter of request could be issued by the Federal Court to a foreign court in the context of an Australian insolvency process pursuant to s 581 of the </w:t>
      </w:r>
      <w:r w:rsidRPr="00691688">
        <w:rPr>
          <w:rFonts w:cstheme="minorHAnsi"/>
          <w:i/>
          <w:iCs/>
          <w:lang w:val="en" w:eastAsia="en-AU"/>
        </w:rPr>
        <w:t>Corporations Act</w:t>
      </w:r>
      <w:r w:rsidRPr="00691688">
        <w:rPr>
          <w:rFonts w:cstheme="minorHAnsi"/>
          <w:lang w:val="en" w:eastAsia="en-AU"/>
        </w:rPr>
        <w:t xml:space="preserve">. </w:t>
      </w:r>
    </w:p>
    <w:p w14:paraId="459E6116" w14:textId="70F4A3FF" w:rsidR="000E11D6" w:rsidRPr="00691688" w:rsidRDefault="000E11D6" w:rsidP="00AC2AAE">
      <w:pPr>
        <w:rPr>
          <w:rFonts w:cstheme="minorHAnsi"/>
          <w:lang w:val="en" w:eastAsia="en-AU"/>
        </w:rPr>
      </w:pPr>
      <w:r w:rsidRPr="00691688">
        <w:rPr>
          <w:rFonts w:cstheme="minorHAnsi"/>
          <w:lang w:val="en" w:eastAsia="en-AU"/>
        </w:rPr>
        <w:t>In the Halifax case, the liquidators (who were appointed to both the Australian company and New Zealand company) argued that client trust funds of the two related companies had become extensively commingled and were also not sufficient to meet client claims. They sought orders allowing them to pool the funds across the Australian and NZ insolvencies but because of the commingling between the companies, it was seen as not feasible for the pooling orders to be determined separately by the Australian and NZ courts, as “each application [was] to a significant extent an application for judicial advice or directions in respect of the same commingled pool of funds.”</w:t>
      </w:r>
      <w:r w:rsidRPr="00691688">
        <w:rPr>
          <w:rStyle w:val="FootnoteReference"/>
          <w:rFonts w:cstheme="minorHAnsi"/>
          <w:lang w:val="en" w:eastAsia="en-AU"/>
        </w:rPr>
        <w:footnoteReference w:id="67"/>
      </w:r>
    </w:p>
    <w:p w14:paraId="4C6DEC51" w14:textId="7C9AB34D" w:rsidR="000E11D6" w:rsidRPr="00691688" w:rsidRDefault="000E11D6" w:rsidP="00AC2AAE">
      <w:pPr>
        <w:rPr>
          <w:rFonts w:cstheme="minorHAnsi"/>
          <w:lang w:val="en" w:eastAsia="en-AU"/>
        </w:rPr>
      </w:pPr>
      <w:r w:rsidRPr="00691688">
        <w:rPr>
          <w:rFonts w:cstheme="minorHAnsi"/>
          <w:lang w:val="en" w:eastAsia="en-AU"/>
        </w:rPr>
        <w:t xml:space="preserve">The Federal Court approved in principle the concept of issuing a letter to the NZ High Court requesting a joint hearing on the pooling applications, describing it as a </w:t>
      </w:r>
      <w:r w:rsidRPr="00691688">
        <w:rPr>
          <w:rFonts w:cstheme="minorHAnsi"/>
          <w:i/>
          <w:iCs/>
          <w:lang w:val="en" w:eastAsia="en-AU"/>
        </w:rPr>
        <w:t>"</w:t>
      </w:r>
      <w:r w:rsidRPr="00691688">
        <w:rPr>
          <w:rFonts w:cstheme="minorHAnsi"/>
          <w:lang w:val="en" w:eastAsia="en-AU"/>
        </w:rPr>
        <w:t>classic candidate for cross-border cooperation between courts to facilitate the fair and efficient administration of the winding up”.</w:t>
      </w:r>
      <w:r w:rsidRPr="00691688">
        <w:rPr>
          <w:rFonts w:cstheme="minorHAnsi"/>
          <w:i/>
          <w:iCs/>
          <w:lang w:val="en" w:eastAsia="en-AU"/>
        </w:rPr>
        <w:t xml:space="preserve"> </w:t>
      </w:r>
    </w:p>
    <w:p w14:paraId="0EF81480" w14:textId="52E045CC" w:rsidR="000E11D6" w:rsidRPr="00691688" w:rsidRDefault="000E11D6" w:rsidP="00AC2AAE">
      <w:pPr>
        <w:rPr>
          <w:rFonts w:cstheme="minorHAnsi"/>
          <w:lang w:val="en" w:eastAsia="en-AU"/>
        </w:rPr>
      </w:pPr>
      <w:r w:rsidRPr="00691688">
        <w:rPr>
          <w:rFonts w:cstheme="minorHAnsi"/>
        </w:rPr>
        <w:t>Justice Gleeson said she saw merit in hearing the matters together “</w:t>
      </w:r>
      <w:r w:rsidRPr="00691688">
        <w:rPr>
          <w:rFonts w:cstheme="minorHAnsi"/>
          <w:lang w:eastAsia="en-AU"/>
        </w:rPr>
        <w:t xml:space="preserve">because they would involve common questions of fact and law and because the claims arise, at least to some extent … from the same series of transactions”. Ultimately </w:t>
      </w:r>
      <w:r w:rsidRPr="00691688">
        <w:rPr>
          <w:rFonts w:cstheme="minorHAnsi"/>
          <w:lang w:val="en" w:eastAsia="en-AU"/>
        </w:rPr>
        <w:t>however the Judge decided that issuance of the letter of request was premature as the relevant client respondents to the pooling application had not yet been identified and consulted.</w:t>
      </w:r>
      <w:r w:rsidRPr="00691688">
        <w:rPr>
          <w:rStyle w:val="FootnoteReference"/>
          <w:rFonts w:cstheme="minorHAnsi"/>
          <w:lang w:val="en" w:eastAsia="en-AU"/>
        </w:rPr>
        <w:footnoteReference w:id="68"/>
      </w:r>
    </w:p>
    <w:p w14:paraId="018B5160" w14:textId="08506844" w:rsidR="000E11D6" w:rsidRPr="00691688" w:rsidRDefault="000E11D6" w:rsidP="00437D6F">
      <w:pPr>
        <w:rPr>
          <w:rFonts w:cstheme="minorHAnsi"/>
          <w:lang w:val="en" w:eastAsia="en-AU"/>
        </w:rPr>
      </w:pPr>
      <w:r w:rsidRPr="00691688">
        <w:rPr>
          <w:rFonts w:cstheme="minorHAnsi"/>
          <w:lang w:val="en" w:eastAsia="en-AU"/>
        </w:rPr>
        <w:lastRenderedPageBreak/>
        <w:t>A recent international judicial initiative</w:t>
      </w:r>
      <w:r w:rsidRPr="00691688">
        <w:rPr>
          <w:rStyle w:val="FootnoteReference"/>
          <w:rFonts w:eastAsiaTheme="majorEastAsia" w:cstheme="minorHAnsi"/>
          <w:shd w:val="clear" w:color="auto" w:fill="FFFFFF"/>
        </w:rPr>
        <w:footnoteReference w:id="69"/>
      </w:r>
      <w:r w:rsidRPr="00691688">
        <w:rPr>
          <w:rFonts w:cstheme="minorHAnsi"/>
          <w:shd w:val="clear" w:color="auto" w:fill="FFFFFF"/>
        </w:rPr>
        <w:t xml:space="preserve"> </w:t>
      </w:r>
      <w:r w:rsidRPr="00691688">
        <w:rPr>
          <w:rFonts w:cstheme="minorHAnsi"/>
          <w:lang w:val="en" w:eastAsia="en-AU"/>
        </w:rPr>
        <w:t>has been the formation of the Judicial Insolvency Network</w:t>
      </w:r>
      <w:r w:rsidRPr="00691688">
        <w:rPr>
          <w:rFonts w:cstheme="minorHAnsi"/>
          <w:shd w:val="clear" w:color="auto" w:fill="FFFFFF"/>
        </w:rPr>
        <w:t xml:space="preserve"> which has developed </w:t>
      </w:r>
      <w:r w:rsidRPr="00691688">
        <w:rPr>
          <w:rFonts w:cstheme="minorHAnsi"/>
          <w:lang w:val="en" w:eastAsia="en-AU"/>
        </w:rPr>
        <w:t>Guidelines to facilitate joint hearings in respect of cross-border insolvencies.</w:t>
      </w:r>
      <w:r w:rsidRPr="00691688">
        <w:rPr>
          <w:rStyle w:val="FootnoteReference"/>
          <w:rFonts w:eastAsiaTheme="majorEastAsia" w:cstheme="minorHAnsi"/>
          <w:shd w:val="clear" w:color="auto" w:fill="FFFFFF"/>
        </w:rPr>
        <w:footnoteReference w:id="70"/>
      </w:r>
      <w:r w:rsidRPr="00691688">
        <w:rPr>
          <w:rFonts w:cstheme="minorHAnsi"/>
          <w:lang w:val="en" w:eastAsia="en-AU"/>
        </w:rPr>
        <w:t xml:space="preserve"> </w:t>
      </w:r>
      <w:r w:rsidR="00F16DFC">
        <w:rPr>
          <w:rFonts w:cstheme="minorHAnsi"/>
          <w:lang w:val="en" w:eastAsia="en-AU"/>
        </w:rPr>
        <w:t>T</w:t>
      </w:r>
      <w:r w:rsidR="00F16DFC">
        <w:rPr>
          <w:rFonts w:cstheme="minorHAnsi"/>
          <w:lang w:val="en" w:eastAsia="en-AU"/>
        </w:rPr>
        <w:t xml:space="preserve">he NSW SC </w:t>
      </w:r>
      <w:r w:rsidR="008315A6">
        <w:rPr>
          <w:rFonts w:cstheme="minorHAnsi"/>
          <w:lang w:val="en" w:eastAsia="en-AU"/>
        </w:rPr>
        <w:t xml:space="preserve">is </w:t>
      </w:r>
      <w:r w:rsidR="00D043AD">
        <w:rPr>
          <w:rFonts w:cstheme="minorHAnsi"/>
          <w:lang w:val="en" w:eastAsia="en-AU"/>
        </w:rPr>
        <w:t>the only Australian court</w:t>
      </w:r>
      <w:r w:rsidR="009342A3">
        <w:rPr>
          <w:rStyle w:val="FootnoteReference"/>
          <w:rFonts w:cstheme="minorHAnsi"/>
          <w:lang w:val="en" w:eastAsia="en-AU"/>
        </w:rPr>
        <w:footnoteReference w:id="71"/>
      </w:r>
      <w:r w:rsidR="008315A6">
        <w:rPr>
          <w:rFonts w:cstheme="minorHAnsi"/>
          <w:lang w:val="en" w:eastAsia="en-AU"/>
        </w:rPr>
        <w:t xml:space="preserve"> that ha</w:t>
      </w:r>
      <w:r w:rsidR="00D043AD">
        <w:rPr>
          <w:rFonts w:cstheme="minorHAnsi"/>
          <w:lang w:val="en" w:eastAsia="en-AU"/>
        </w:rPr>
        <w:t>s</w:t>
      </w:r>
      <w:r w:rsidR="008315A6">
        <w:rPr>
          <w:rFonts w:cstheme="minorHAnsi"/>
          <w:lang w:val="en" w:eastAsia="en-AU"/>
        </w:rPr>
        <w:t xml:space="preserve"> </w:t>
      </w:r>
      <w:r w:rsidR="006C4D03">
        <w:rPr>
          <w:rFonts w:cstheme="minorHAnsi"/>
          <w:lang w:val="en" w:eastAsia="en-AU"/>
        </w:rPr>
        <w:t>adopted</w:t>
      </w:r>
      <w:r w:rsidR="00F16DFC" w:rsidRPr="00F16DFC">
        <w:rPr>
          <w:rFonts w:cstheme="minorHAnsi"/>
          <w:lang w:val="en" w:eastAsia="en-AU"/>
        </w:rPr>
        <w:t xml:space="preserve"> </w:t>
      </w:r>
      <w:r w:rsidR="00F16DFC">
        <w:rPr>
          <w:rFonts w:cstheme="minorHAnsi"/>
          <w:lang w:val="en" w:eastAsia="en-AU"/>
        </w:rPr>
        <w:t>the</w:t>
      </w:r>
      <w:r w:rsidR="009172AA">
        <w:rPr>
          <w:rFonts w:cstheme="minorHAnsi"/>
          <w:lang w:val="en" w:eastAsia="en-AU"/>
        </w:rPr>
        <w:t xml:space="preserve">se </w:t>
      </w:r>
      <w:r w:rsidR="00F16DFC">
        <w:rPr>
          <w:rFonts w:cstheme="minorHAnsi"/>
          <w:lang w:val="en" w:eastAsia="en-AU"/>
        </w:rPr>
        <w:t>Guidelines</w:t>
      </w:r>
      <w:r w:rsidR="00776FEE">
        <w:rPr>
          <w:rFonts w:cstheme="minorHAnsi"/>
          <w:lang w:val="en" w:eastAsia="en-AU"/>
        </w:rPr>
        <w:t xml:space="preserve">, </w:t>
      </w:r>
      <w:r w:rsidR="00925754">
        <w:rPr>
          <w:rFonts w:cstheme="minorHAnsi"/>
          <w:lang w:val="en" w:eastAsia="en-AU"/>
        </w:rPr>
        <w:t xml:space="preserve">doing so </w:t>
      </w:r>
      <w:r w:rsidR="00776FEE">
        <w:rPr>
          <w:rFonts w:cstheme="minorHAnsi"/>
          <w:lang w:val="en" w:eastAsia="en-AU"/>
        </w:rPr>
        <w:t xml:space="preserve">on an interim basis </w:t>
      </w:r>
      <w:r w:rsidR="00F16DFC">
        <w:rPr>
          <w:rFonts w:cstheme="minorHAnsi"/>
          <w:lang w:val="en" w:eastAsia="en-AU"/>
        </w:rPr>
        <w:t>and pending</w:t>
      </w:r>
      <w:r w:rsidR="00495187">
        <w:rPr>
          <w:rFonts w:cstheme="minorHAnsi"/>
          <w:lang w:val="en" w:eastAsia="en-AU"/>
        </w:rPr>
        <w:t xml:space="preserve"> consideration by the Council of Chief Justi</w:t>
      </w:r>
      <w:r w:rsidR="00383AD7">
        <w:rPr>
          <w:rFonts w:cstheme="minorHAnsi"/>
          <w:lang w:val="en" w:eastAsia="en-AU"/>
        </w:rPr>
        <w:t>c</w:t>
      </w:r>
      <w:r w:rsidR="00495187">
        <w:rPr>
          <w:rFonts w:cstheme="minorHAnsi"/>
          <w:lang w:val="en" w:eastAsia="en-AU"/>
        </w:rPr>
        <w:t>es</w:t>
      </w:r>
      <w:r w:rsidR="000F2B80">
        <w:rPr>
          <w:rFonts w:cstheme="minorHAnsi"/>
          <w:lang w:val="en" w:eastAsia="en-AU"/>
        </w:rPr>
        <w:t xml:space="preserve"> </w:t>
      </w:r>
      <w:r w:rsidR="00F16DFC">
        <w:rPr>
          <w:rFonts w:cstheme="minorHAnsi"/>
          <w:lang w:val="en" w:eastAsia="en-AU"/>
        </w:rPr>
        <w:t xml:space="preserve">of any further amendments to the uniform Corporations Rules </w:t>
      </w:r>
      <w:r w:rsidR="003D35D2">
        <w:rPr>
          <w:rFonts w:cstheme="minorHAnsi"/>
          <w:lang w:val="en" w:eastAsia="en-AU"/>
        </w:rPr>
        <w:t xml:space="preserve">and the </w:t>
      </w:r>
      <w:r w:rsidR="008315A6">
        <w:rPr>
          <w:rFonts w:cstheme="minorHAnsi"/>
          <w:lang w:val="en" w:eastAsia="en-AU"/>
        </w:rPr>
        <w:t>Practice</w:t>
      </w:r>
      <w:r w:rsidR="003D35D2">
        <w:rPr>
          <w:rFonts w:cstheme="minorHAnsi"/>
          <w:lang w:val="en" w:eastAsia="en-AU"/>
        </w:rPr>
        <w:t xml:space="preserve"> Note in respect of the JIN Gui</w:t>
      </w:r>
      <w:r w:rsidR="008315A6">
        <w:rPr>
          <w:rFonts w:cstheme="minorHAnsi"/>
          <w:lang w:val="en" w:eastAsia="en-AU"/>
        </w:rPr>
        <w:t>delines</w:t>
      </w:r>
      <w:r w:rsidR="006C4D03">
        <w:rPr>
          <w:rFonts w:cstheme="minorHAnsi"/>
          <w:lang w:val="en" w:eastAsia="en-AU"/>
        </w:rPr>
        <w:t>.</w:t>
      </w:r>
      <w:r w:rsidR="006C4D03">
        <w:rPr>
          <w:rStyle w:val="FootnoteReference"/>
          <w:rFonts w:cstheme="minorHAnsi"/>
          <w:lang w:val="en" w:eastAsia="en-AU"/>
        </w:rPr>
        <w:footnoteReference w:id="72"/>
      </w:r>
      <w:r w:rsidR="009E29B0">
        <w:rPr>
          <w:rFonts w:cstheme="minorHAnsi"/>
          <w:lang w:val="en" w:eastAsia="en-AU"/>
        </w:rPr>
        <w:t xml:space="preserve"> </w:t>
      </w:r>
    </w:p>
    <w:p w14:paraId="16D5E5CC" w14:textId="13787AF2" w:rsidR="000E11D6" w:rsidRPr="00691688" w:rsidRDefault="000E11D6" w:rsidP="007268DD">
      <w:pPr>
        <w:rPr>
          <w:rFonts w:cstheme="minorHAnsi"/>
        </w:rPr>
      </w:pPr>
      <w:r w:rsidRPr="00691688">
        <w:rPr>
          <w:rFonts w:cstheme="minorHAnsi"/>
        </w:rPr>
        <w:t xml:space="preserve">The significant role played by judges in cross-border insolvency is reflected in yet another WGV text, </w:t>
      </w:r>
      <w:r w:rsidRPr="00691688">
        <w:rPr>
          <w:rFonts w:cstheme="minorHAnsi"/>
          <w:b/>
          <w:bCs/>
        </w:rPr>
        <w:t>The</w:t>
      </w:r>
      <w:r w:rsidRPr="00691688">
        <w:rPr>
          <w:rFonts w:cstheme="minorHAnsi"/>
        </w:rPr>
        <w:t xml:space="preserve"> </w:t>
      </w:r>
      <w:r w:rsidRPr="00691688">
        <w:rPr>
          <w:rFonts w:cstheme="minorHAnsi"/>
          <w:b/>
          <w:bCs/>
        </w:rPr>
        <w:t>Judicial Perspective.</w:t>
      </w:r>
      <w:r w:rsidRPr="00691688">
        <w:rPr>
          <w:rFonts w:cstheme="minorHAnsi"/>
          <w:vertAlign w:val="superscript"/>
        </w:rPr>
        <w:footnoteReference w:id="73"/>
      </w:r>
      <w:r w:rsidRPr="00691688">
        <w:rPr>
          <w:rFonts w:cstheme="minorHAnsi"/>
        </w:rPr>
        <w:t xml:space="preserve">  This explanatory text was first published in 2011 and is periodically updated, most recently in 2013.  It identifies issues that may arise on an application for recognition or cooperation and discusses the approaches that courts have taken in states that have enacted legislation based on the Model Law.</w:t>
      </w:r>
      <w:r w:rsidRPr="00691688">
        <w:rPr>
          <w:rStyle w:val="FootnoteReference"/>
          <w:rFonts w:cstheme="minorHAnsi"/>
        </w:rPr>
        <w:footnoteReference w:id="74"/>
      </w:r>
    </w:p>
    <w:p w14:paraId="256FFC68" w14:textId="77777777" w:rsidR="000E11D6" w:rsidRPr="00691688" w:rsidRDefault="000E11D6" w:rsidP="007268DD">
      <w:pPr>
        <w:rPr>
          <w:rFonts w:cstheme="minorHAnsi"/>
        </w:rPr>
      </w:pPr>
    </w:p>
    <w:p w14:paraId="39D443F1" w14:textId="5B816F34" w:rsidR="000E11D6" w:rsidRPr="00691688" w:rsidRDefault="000E11D6" w:rsidP="00FF39DE">
      <w:pPr>
        <w:rPr>
          <w:rFonts w:cstheme="minorHAnsi"/>
        </w:rPr>
      </w:pPr>
      <w:r w:rsidRPr="00691688">
        <w:rPr>
          <w:rFonts w:cstheme="minorHAnsi"/>
        </w:rPr>
        <w:t xml:space="preserve">I now turn to the two additional Model Laws dealing with insolvency that have been developed by UNCITRAL.  Neither of these have as yet been adopted domestically by Australia </w:t>
      </w:r>
      <w:r w:rsidRPr="00691688">
        <w:rPr>
          <w:rFonts w:cstheme="minorHAnsi"/>
          <w:i/>
          <w:iCs/>
        </w:rPr>
        <w:t>– and I do not know when their adoption may be considered by the Australian government</w:t>
      </w:r>
      <w:r w:rsidRPr="00691688">
        <w:rPr>
          <w:rFonts w:cstheme="minorHAnsi"/>
        </w:rPr>
        <w:t xml:space="preserve">.  </w:t>
      </w:r>
    </w:p>
    <w:p w14:paraId="3E6288AE" w14:textId="77777777" w:rsidR="000E11D6" w:rsidRPr="00691688" w:rsidRDefault="000E11D6" w:rsidP="00FF39DE">
      <w:pPr>
        <w:rPr>
          <w:rFonts w:cstheme="minorHAnsi"/>
        </w:rPr>
      </w:pPr>
    </w:p>
    <w:p w14:paraId="1E42014D" w14:textId="071AE0CF" w:rsidR="000E11D6" w:rsidRPr="00691688" w:rsidRDefault="000E11D6" w:rsidP="00313AC1">
      <w:pPr>
        <w:pStyle w:val="Heading3"/>
        <w:numPr>
          <w:ilvl w:val="1"/>
          <w:numId w:val="24"/>
        </w:numPr>
        <w:spacing w:after="120"/>
        <w:ind w:left="714" w:hanging="357"/>
        <w:rPr>
          <w:rFonts w:asciiTheme="minorHAnsi" w:hAnsiTheme="minorHAnsi" w:cstheme="minorHAnsi"/>
          <w:b/>
          <w:bCs/>
          <w:color w:val="auto"/>
          <w:sz w:val="22"/>
          <w:szCs w:val="22"/>
        </w:rPr>
      </w:pPr>
      <w:r w:rsidRPr="00691688">
        <w:rPr>
          <w:rFonts w:asciiTheme="minorHAnsi" w:hAnsiTheme="minorHAnsi" w:cstheme="minorHAnsi"/>
          <w:b/>
          <w:bCs/>
          <w:color w:val="auto"/>
          <w:sz w:val="22"/>
          <w:szCs w:val="22"/>
        </w:rPr>
        <w:t>Model Law on Recognition and Enforcement of Insolvency-Related Judgments (2018)</w:t>
      </w:r>
    </w:p>
    <w:p w14:paraId="33D1A0E3" w14:textId="588253EE" w:rsidR="000E11D6" w:rsidRPr="00691688" w:rsidRDefault="000E11D6" w:rsidP="00313AC1">
      <w:pPr>
        <w:pStyle w:val="NoSpacing"/>
        <w:rPr>
          <w:rFonts w:cstheme="minorHAnsi"/>
        </w:rPr>
      </w:pPr>
      <w:r w:rsidRPr="00691688">
        <w:rPr>
          <w:rFonts w:cstheme="minorHAnsi"/>
        </w:rPr>
        <w:t xml:space="preserve">The </w:t>
      </w:r>
      <w:r w:rsidRPr="00691688">
        <w:rPr>
          <w:rFonts w:cstheme="minorHAnsi"/>
          <w:b/>
          <w:bCs/>
        </w:rPr>
        <w:t xml:space="preserve">Model Law on Recognition and Enforcement of Insolvency-Related Judgments </w:t>
      </w:r>
      <w:r w:rsidR="004837EA" w:rsidRPr="004837EA">
        <w:rPr>
          <w:rFonts w:cstheme="minorHAnsi"/>
        </w:rPr>
        <w:t>was</w:t>
      </w:r>
      <w:r w:rsidR="004837EA">
        <w:rPr>
          <w:rFonts w:cstheme="minorHAnsi"/>
          <w:b/>
          <w:bCs/>
        </w:rPr>
        <w:t xml:space="preserve"> </w:t>
      </w:r>
      <w:r w:rsidRPr="00691688">
        <w:rPr>
          <w:rFonts w:cstheme="minorHAnsi"/>
        </w:rPr>
        <w:t xml:space="preserve">formally adopted by UNCITRAL in July 2018. It is drafted in a form that can either be integrated into the 1997 Model Law or enacted as a stand-alone statutory regime. </w:t>
      </w:r>
    </w:p>
    <w:p w14:paraId="408F2445" w14:textId="77777777" w:rsidR="000E11D6" w:rsidRPr="00691688" w:rsidRDefault="000E11D6" w:rsidP="00313AC1">
      <w:pPr>
        <w:pStyle w:val="NoSpacing"/>
        <w:rPr>
          <w:rFonts w:cstheme="minorHAnsi"/>
        </w:rPr>
      </w:pPr>
    </w:p>
    <w:p w14:paraId="6538B1AD" w14:textId="0BB626FF" w:rsidR="000E11D6" w:rsidRPr="00691688" w:rsidRDefault="000E11D6" w:rsidP="00313AC1">
      <w:pPr>
        <w:pStyle w:val="NoSpacing"/>
        <w:rPr>
          <w:rFonts w:cstheme="minorHAnsi"/>
        </w:rPr>
      </w:pPr>
      <w:r w:rsidRPr="00691688">
        <w:rPr>
          <w:rFonts w:cstheme="minorHAnsi"/>
        </w:rPr>
        <w:t xml:space="preserve">Its purpose is to address an apparent limitation in the 1997 Model Law arising from the UK Supreme Court decisions in </w:t>
      </w:r>
      <w:r w:rsidRPr="00691688">
        <w:rPr>
          <w:rFonts w:cstheme="minorHAnsi"/>
          <w:i/>
          <w:iCs/>
        </w:rPr>
        <w:t xml:space="preserve">Rubin v </w:t>
      </w:r>
      <w:proofErr w:type="spellStart"/>
      <w:r w:rsidRPr="00691688">
        <w:rPr>
          <w:rFonts w:cstheme="minorHAnsi"/>
          <w:i/>
          <w:iCs/>
        </w:rPr>
        <w:t>Eurofinance</w:t>
      </w:r>
      <w:proofErr w:type="spellEnd"/>
      <w:r w:rsidRPr="00691688">
        <w:rPr>
          <w:rFonts w:cstheme="minorHAnsi"/>
          <w:i/>
          <w:iCs/>
        </w:rPr>
        <w:t xml:space="preserve"> </w:t>
      </w:r>
      <w:r w:rsidRPr="00691688">
        <w:rPr>
          <w:rFonts w:cstheme="minorHAnsi"/>
        </w:rPr>
        <w:t xml:space="preserve">(UK/USA) and </w:t>
      </w:r>
      <w:r w:rsidRPr="00691688">
        <w:rPr>
          <w:rFonts w:cstheme="minorHAnsi"/>
          <w:i/>
        </w:rPr>
        <w:t>Grant v New Cap Re</w:t>
      </w:r>
      <w:r w:rsidRPr="00691688">
        <w:rPr>
          <w:rFonts w:cstheme="minorHAnsi"/>
        </w:rPr>
        <w:t xml:space="preserve"> (UK/Australia).  These cases which were heard together confirmed the</w:t>
      </w:r>
      <w:r w:rsidRPr="00691688">
        <w:rPr>
          <w:rFonts w:cstheme="minorHAnsi"/>
          <w:i/>
          <w:iCs/>
        </w:rPr>
        <w:t xml:space="preserve"> </w:t>
      </w:r>
      <w:r w:rsidRPr="00691688">
        <w:rPr>
          <w:rFonts w:cstheme="minorHAnsi"/>
          <w:shd w:val="clear" w:color="auto" w:fill="FFFFFF"/>
        </w:rPr>
        <w:t xml:space="preserve">long-standing English position that a foreign court would not enforce a judgment </w:t>
      </w:r>
      <w:r w:rsidRPr="00691688">
        <w:rPr>
          <w:rFonts w:cstheme="minorHAnsi"/>
          <w:i/>
          <w:iCs/>
          <w:shd w:val="clear" w:color="auto" w:fill="FFFFFF"/>
        </w:rPr>
        <w:t>in personam</w:t>
      </w:r>
      <w:r w:rsidRPr="00691688">
        <w:rPr>
          <w:rFonts w:cstheme="minorHAnsi"/>
          <w:shd w:val="clear" w:color="auto" w:fill="FFFFFF"/>
        </w:rPr>
        <w:t xml:space="preserve"> if the defendant had not submitted to the jurisdiction</w:t>
      </w:r>
      <w:r w:rsidRPr="00691688">
        <w:rPr>
          <w:rFonts w:cstheme="minorHAnsi"/>
        </w:rPr>
        <w:t>.</w:t>
      </w:r>
      <w:r w:rsidRPr="00691688">
        <w:rPr>
          <w:rStyle w:val="FootnoteReference"/>
          <w:rFonts w:cstheme="minorHAnsi"/>
        </w:rPr>
        <w:footnoteReference w:id="75"/>
      </w:r>
      <w:r w:rsidRPr="00691688">
        <w:rPr>
          <w:rFonts w:cstheme="minorHAnsi"/>
        </w:rPr>
        <w:t xml:space="preserve">  </w:t>
      </w:r>
    </w:p>
    <w:p w14:paraId="4B05175C" w14:textId="77777777" w:rsidR="000E11D6" w:rsidRPr="00691688" w:rsidRDefault="000E11D6" w:rsidP="00313AC1">
      <w:pPr>
        <w:pStyle w:val="NoSpacing"/>
        <w:rPr>
          <w:rFonts w:cstheme="minorHAnsi"/>
        </w:rPr>
      </w:pPr>
    </w:p>
    <w:p w14:paraId="32572E6A" w14:textId="284DACD1" w:rsidR="000E11D6" w:rsidRPr="00691688" w:rsidRDefault="000E11D6" w:rsidP="003B407C">
      <w:pPr>
        <w:spacing w:after="0" w:line="240" w:lineRule="auto"/>
        <w:rPr>
          <w:rFonts w:cstheme="minorHAnsi"/>
        </w:rPr>
      </w:pPr>
      <w:r w:rsidRPr="00691688">
        <w:rPr>
          <w:rFonts w:cstheme="minorHAnsi"/>
        </w:rPr>
        <w:t xml:space="preserve">The background to the </w:t>
      </w:r>
      <w:r w:rsidRPr="00691688">
        <w:rPr>
          <w:rFonts w:cstheme="minorHAnsi"/>
          <w:i/>
          <w:iCs/>
        </w:rPr>
        <w:t>New Cap Re</w:t>
      </w:r>
      <w:r w:rsidRPr="00691688">
        <w:rPr>
          <w:rFonts w:cstheme="minorHAnsi"/>
        </w:rPr>
        <w:t xml:space="preserve"> case is described by UNCCA member John Martin, who acted in the </w:t>
      </w:r>
      <w:r w:rsidRPr="00691688">
        <w:rPr>
          <w:rFonts w:cstheme="minorHAnsi"/>
          <w:iCs/>
        </w:rPr>
        <w:t>matter</w:t>
      </w:r>
      <w:r w:rsidR="004837EA">
        <w:rPr>
          <w:rFonts w:cstheme="minorHAnsi"/>
          <w:iCs/>
        </w:rPr>
        <w:t xml:space="preserve"> as follows</w:t>
      </w:r>
      <w:r w:rsidRPr="00691688">
        <w:rPr>
          <w:rFonts w:cstheme="minorHAnsi"/>
        </w:rPr>
        <w:t xml:space="preserve">: </w:t>
      </w:r>
    </w:p>
    <w:p w14:paraId="7D2E6A76" w14:textId="7A4E8BD4" w:rsidR="000E11D6" w:rsidRPr="00691688" w:rsidRDefault="000E11D6" w:rsidP="00CD5BB5">
      <w:pPr>
        <w:spacing w:line="240" w:lineRule="auto"/>
        <w:ind w:left="720"/>
        <w:rPr>
          <w:rFonts w:cstheme="minorHAnsi"/>
        </w:rPr>
      </w:pPr>
      <w:r w:rsidRPr="00691688">
        <w:rPr>
          <w:rFonts w:cstheme="minorHAnsi"/>
        </w:rPr>
        <w:t xml:space="preserve">“the Australian liquidator had obtained a $7M preference judgment against a Lloyd’s syndicate in default of their appearance in Australia. Lord Collins treated Justice Barrett’s order seeking to reconstitute the insolvent estate as being no different to a money judgment </w:t>
      </w:r>
      <w:r w:rsidRPr="00691688">
        <w:rPr>
          <w:rFonts w:cstheme="minorHAnsi"/>
        </w:rPr>
        <w:lastRenderedPageBreak/>
        <w:t xml:space="preserve">in private litigation and declined to enforce it against the Lloyd’s syndicate other than in accordance with traditional rules for enforcement of judgments in personam.” </w:t>
      </w:r>
    </w:p>
    <w:p w14:paraId="53FD4CCA" w14:textId="56F06069" w:rsidR="000E11D6" w:rsidRPr="00691688" w:rsidRDefault="000E11D6" w:rsidP="001032E3">
      <w:pPr>
        <w:pStyle w:val="INSOLstyletext"/>
        <w:ind w:left="0"/>
        <w:rPr>
          <w:rFonts w:asciiTheme="minorHAnsi" w:hAnsiTheme="minorHAnsi" w:cstheme="minorHAnsi"/>
        </w:rPr>
      </w:pPr>
      <w:r w:rsidRPr="00691688">
        <w:rPr>
          <w:rFonts w:asciiTheme="minorHAnsi" w:hAnsiTheme="minorHAnsi" w:cstheme="minorHAnsi"/>
        </w:rPr>
        <w:t>To give a sense of the scope of the judgments intended to be covered by this new Model Law, Article 2(d) defines “Insolvency-related judgment” as follows:</w:t>
      </w:r>
    </w:p>
    <w:p w14:paraId="09FCACDD" w14:textId="5EABB9C1" w:rsidR="000E11D6" w:rsidRPr="00691688" w:rsidRDefault="000E11D6" w:rsidP="001032E3">
      <w:pPr>
        <w:spacing w:after="0" w:line="240" w:lineRule="auto"/>
        <w:ind w:left="403"/>
        <w:rPr>
          <w:rFonts w:cstheme="minorHAnsi"/>
          <w:lang w:val="en-GB"/>
        </w:rPr>
      </w:pPr>
      <w:r w:rsidRPr="00691688">
        <w:rPr>
          <w:rFonts w:cstheme="minorHAnsi"/>
          <w:lang w:val="en-GB"/>
        </w:rPr>
        <w:t xml:space="preserve">“(i) Means a judgment that: </w:t>
      </w:r>
    </w:p>
    <w:p w14:paraId="3D803FD3" w14:textId="77777777" w:rsidR="000E11D6" w:rsidRPr="00691688" w:rsidRDefault="000E11D6" w:rsidP="001032E3">
      <w:pPr>
        <w:spacing w:after="0" w:line="240" w:lineRule="auto"/>
        <w:ind w:left="1231" w:hanging="425"/>
        <w:rPr>
          <w:rFonts w:cstheme="minorHAnsi"/>
          <w:lang w:val="en-GB"/>
        </w:rPr>
      </w:pPr>
      <w:r w:rsidRPr="00691688">
        <w:rPr>
          <w:rFonts w:cstheme="minorHAnsi"/>
          <w:lang w:val="en-GB"/>
        </w:rPr>
        <w:t>a.</w:t>
      </w:r>
      <w:r w:rsidRPr="00691688">
        <w:rPr>
          <w:rFonts w:cstheme="minorHAnsi"/>
          <w:lang w:val="en-GB"/>
        </w:rPr>
        <w:tab/>
        <w:t xml:space="preserve">Arises as a consequence of or is materially associated with an insolvency proceeding, whether or not that insolvency proceeding has closed; and </w:t>
      </w:r>
    </w:p>
    <w:p w14:paraId="7C1D5B90" w14:textId="77777777" w:rsidR="000E11D6" w:rsidRPr="00691688" w:rsidRDefault="000E11D6" w:rsidP="001032E3">
      <w:pPr>
        <w:spacing w:after="0" w:line="240" w:lineRule="auto"/>
        <w:ind w:left="1231" w:hanging="425"/>
        <w:rPr>
          <w:rFonts w:cstheme="minorHAnsi"/>
          <w:lang w:val="en-GB"/>
        </w:rPr>
      </w:pPr>
      <w:r w:rsidRPr="00691688">
        <w:rPr>
          <w:rFonts w:cstheme="minorHAnsi"/>
          <w:lang w:val="en-GB"/>
        </w:rPr>
        <w:t>b.</w:t>
      </w:r>
      <w:r w:rsidRPr="00691688">
        <w:rPr>
          <w:rFonts w:cstheme="minorHAnsi"/>
          <w:lang w:val="en-GB"/>
        </w:rPr>
        <w:tab/>
        <w:t xml:space="preserve">Was issued on or after the commencement of that insolvency proceeding; and </w:t>
      </w:r>
    </w:p>
    <w:p w14:paraId="0D4EA252" w14:textId="77777777" w:rsidR="000E11D6" w:rsidRPr="00691688" w:rsidRDefault="000E11D6" w:rsidP="001032E3">
      <w:pPr>
        <w:spacing w:after="0" w:line="240" w:lineRule="auto"/>
        <w:ind w:left="403"/>
        <w:rPr>
          <w:rFonts w:cstheme="minorHAnsi"/>
          <w:lang w:val="en-GB"/>
        </w:rPr>
      </w:pPr>
      <w:r w:rsidRPr="00691688">
        <w:rPr>
          <w:rFonts w:cstheme="minorHAnsi"/>
          <w:lang w:val="en-GB"/>
        </w:rPr>
        <w:t>(ii) Does not include a judgment commencing an insolvency proceeding.”</w:t>
      </w:r>
    </w:p>
    <w:p w14:paraId="28B9BC14" w14:textId="6BD02CC1" w:rsidR="000E11D6" w:rsidRPr="00691688" w:rsidRDefault="000E11D6" w:rsidP="00313AC1">
      <w:pPr>
        <w:pStyle w:val="para"/>
        <w:spacing w:before="240" w:beforeAutospacing="0" w:after="288" w:afterAutospacing="0"/>
        <w:rPr>
          <w:rStyle w:val="Strong"/>
          <w:rFonts w:asciiTheme="minorHAnsi" w:hAnsiTheme="minorHAnsi" w:cstheme="minorHAnsi"/>
          <w:b w:val="0"/>
          <w:bCs w:val="0"/>
          <w:sz w:val="22"/>
          <w:szCs w:val="22"/>
        </w:rPr>
      </w:pPr>
      <w:r w:rsidRPr="00691688">
        <w:rPr>
          <w:rFonts w:asciiTheme="minorHAnsi" w:hAnsiTheme="minorHAnsi" w:cstheme="minorHAnsi"/>
          <w:sz w:val="22"/>
          <w:szCs w:val="22"/>
        </w:rPr>
        <w:t xml:space="preserve">It should be noted that Australian courts are not necessarily bound by the </w:t>
      </w:r>
      <w:r w:rsidRPr="00691688">
        <w:rPr>
          <w:rStyle w:val="Emphasis"/>
          <w:rFonts w:asciiTheme="minorHAnsi" w:hAnsiTheme="minorHAnsi" w:cstheme="minorHAnsi"/>
          <w:sz w:val="22"/>
          <w:szCs w:val="22"/>
        </w:rPr>
        <w:t>Rubin</w:t>
      </w:r>
      <w:r w:rsidRPr="00691688">
        <w:rPr>
          <w:rFonts w:asciiTheme="minorHAnsi" w:hAnsiTheme="minorHAnsi" w:cstheme="minorHAnsi"/>
          <w:sz w:val="22"/>
          <w:szCs w:val="22"/>
        </w:rPr>
        <w:t xml:space="preserve"> decision</w:t>
      </w:r>
      <w:r w:rsidRPr="00691688">
        <w:rPr>
          <w:rStyle w:val="Emphasis"/>
          <w:rFonts w:asciiTheme="minorHAnsi" w:hAnsiTheme="minorHAnsi" w:cstheme="minorHAnsi"/>
          <w:sz w:val="22"/>
          <w:szCs w:val="22"/>
        </w:rPr>
        <w:t xml:space="preserve">, </w:t>
      </w:r>
      <w:r w:rsidRPr="00691688">
        <w:rPr>
          <w:rStyle w:val="Emphasis"/>
          <w:rFonts w:asciiTheme="minorHAnsi" w:hAnsiTheme="minorHAnsi" w:cstheme="minorHAnsi"/>
          <w:i w:val="0"/>
          <w:iCs w:val="0"/>
          <w:sz w:val="22"/>
          <w:szCs w:val="22"/>
        </w:rPr>
        <w:t xml:space="preserve">although an UNCCA member Neil Hannan suggests that it may be </w:t>
      </w:r>
      <w:r w:rsidRPr="00691688">
        <w:rPr>
          <w:rFonts w:asciiTheme="minorHAnsi" w:hAnsiTheme="minorHAnsi" w:cstheme="minorHAnsi"/>
          <w:i/>
          <w:iCs/>
          <w:sz w:val="22"/>
          <w:szCs w:val="22"/>
        </w:rPr>
        <w:t xml:space="preserve">persuasive, </w:t>
      </w:r>
      <w:r w:rsidRPr="00691688">
        <w:rPr>
          <w:rFonts w:asciiTheme="minorHAnsi" w:hAnsiTheme="minorHAnsi" w:cstheme="minorHAnsi"/>
          <w:sz w:val="22"/>
          <w:szCs w:val="22"/>
        </w:rPr>
        <w:t xml:space="preserve">subject to appropriate facts existing. On the other hand, the High Court of Australia may rather find that “insolvency law has its own rules for recognition and are not bound by the general rules that exist for recognition of foreign judgments”, an outcome that </w:t>
      </w:r>
      <w:r w:rsidR="00BA413A">
        <w:rPr>
          <w:rFonts w:asciiTheme="minorHAnsi" w:hAnsiTheme="minorHAnsi" w:cstheme="minorHAnsi"/>
          <w:sz w:val="22"/>
          <w:szCs w:val="22"/>
        </w:rPr>
        <w:t xml:space="preserve">Neil </w:t>
      </w:r>
      <w:r w:rsidRPr="00691688">
        <w:rPr>
          <w:rFonts w:asciiTheme="minorHAnsi" w:hAnsiTheme="minorHAnsi" w:cstheme="minorHAnsi"/>
          <w:sz w:val="22"/>
          <w:szCs w:val="22"/>
        </w:rPr>
        <w:t xml:space="preserve">Hannan argues </w:t>
      </w:r>
      <w:r w:rsidR="00F42248">
        <w:rPr>
          <w:rFonts w:asciiTheme="minorHAnsi" w:hAnsiTheme="minorHAnsi" w:cstheme="minorHAnsi"/>
          <w:sz w:val="22"/>
          <w:szCs w:val="22"/>
        </w:rPr>
        <w:t xml:space="preserve">(and </w:t>
      </w:r>
      <w:r w:rsidR="00BA413A">
        <w:rPr>
          <w:rFonts w:asciiTheme="minorHAnsi" w:hAnsiTheme="minorHAnsi" w:cstheme="minorHAnsi"/>
          <w:sz w:val="22"/>
          <w:szCs w:val="22"/>
        </w:rPr>
        <w:t xml:space="preserve">with which </w:t>
      </w:r>
      <w:r w:rsidR="00F42248">
        <w:rPr>
          <w:rFonts w:asciiTheme="minorHAnsi" w:hAnsiTheme="minorHAnsi" w:cstheme="minorHAnsi"/>
          <w:sz w:val="22"/>
          <w:szCs w:val="22"/>
        </w:rPr>
        <w:t xml:space="preserve">I agree) </w:t>
      </w:r>
      <w:r w:rsidRPr="00691688">
        <w:rPr>
          <w:rFonts w:asciiTheme="minorHAnsi" w:hAnsiTheme="minorHAnsi" w:cstheme="minorHAnsi"/>
          <w:sz w:val="22"/>
          <w:szCs w:val="22"/>
        </w:rPr>
        <w:t>is desirable.  That unresolved issue may cause the Australian government to defer consideration of adoption of this Model Law.</w:t>
      </w:r>
    </w:p>
    <w:p w14:paraId="78711405" w14:textId="47D2ED5A" w:rsidR="000E11D6" w:rsidRPr="00691688" w:rsidRDefault="000E11D6" w:rsidP="00D454F3">
      <w:pPr>
        <w:pStyle w:val="Heading3"/>
        <w:numPr>
          <w:ilvl w:val="1"/>
          <w:numId w:val="24"/>
        </w:numPr>
        <w:spacing w:after="120"/>
        <w:ind w:left="714" w:hanging="357"/>
        <w:rPr>
          <w:rFonts w:asciiTheme="minorHAnsi" w:hAnsiTheme="minorHAnsi" w:cstheme="minorHAnsi"/>
          <w:b/>
          <w:bCs/>
          <w:color w:val="auto"/>
          <w:sz w:val="22"/>
          <w:szCs w:val="22"/>
        </w:rPr>
      </w:pPr>
      <w:r w:rsidRPr="00691688">
        <w:rPr>
          <w:rFonts w:asciiTheme="minorHAnsi" w:hAnsiTheme="minorHAnsi" w:cstheme="minorHAnsi"/>
          <w:b/>
          <w:bCs/>
          <w:color w:val="auto"/>
          <w:sz w:val="22"/>
          <w:szCs w:val="22"/>
        </w:rPr>
        <w:t>Model Law on Enterprise Group Insolvency (2019)</w:t>
      </w:r>
    </w:p>
    <w:p w14:paraId="6E7E4F26" w14:textId="4659F442" w:rsidR="000E11D6" w:rsidRPr="00691688" w:rsidRDefault="000E11D6" w:rsidP="00B47A47">
      <w:pPr>
        <w:pStyle w:val="NoSpacing"/>
        <w:spacing w:after="160"/>
        <w:rPr>
          <w:rFonts w:cstheme="minorHAnsi"/>
        </w:rPr>
      </w:pPr>
      <w:r w:rsidRPr="00691688">
        <w:rPr>
          <w:rFonts w:cstheme="minorHAnsi"/>
        </w:rPr>
        <w:t xml:space="preserve">In May 2019, WGV completed its lengthy work on the </w:t>
      </w:r>
      <w:r w:rsidRPr="00691688">
        <w:rPr>
          <w:rFonts w:cstheme="minorHAnsi"/>
          <w:b/>
          <w:bCs/>
        </w:rPr>
        <w:t>Model Law on Enterprise Group Insolvency</w:t>
      </w:r>
      <w:r w:rsidRPr="00691688">
        <w:rPr>
          <w:rFonts w:cstheme="minorHAnsi"/>
        </w:rPr>
        <w:t xml:space="preserve">. This addresses the difficult yet common case of multinational affiliated companies being the subject of insolvency proceedings in two or more States. </w:t>
      </w:r>
    </w:p>
    <w:p w14:paraId="3990FB9C" w14:textId="77777777" w:rsidR="000E11D6" w:rsidRPr="00691688" w:rsidRDefault="000E11D6" w:rsidP="00B47A47">
      <w:pPr>
        <w:pStyle w:val="NoSpacing"/>
        <w:spacing w:after="160"/>
        <w:rPr>
          <w:rFonts w:cstheme="minorHAnsi"/>
        </w:rPr>
      </w:pPr>
      <w:r w:rsidRPr="00691688">
        <w:rPr>
          <w:rFonts w:cstheme="minorHAnsi"/>
        </w:rPr>
        <w:t xml:space="preserve">It provides procedures to harmonize the various proceedings by way of addressing such issues as intercompany claims, duties of directors in the period approaching insolvency, the need to avoid inconsistent rulings affecting the enterprise group, and the appointment of a single group representative. </w:t>
      </w:r>
    </w:p>
    <w:p w14:paraId="7362D70E" w14:textId="163B1C5A" w:rsidR="000E11D6" w:rsidRPr="00691688" w:rsidRDefault="000E11D6" w:rsidP="00B47A47">
      <w:pPr>
        <w:pStyle w:val="NoSpacing"/>
        <w:spacing w:after="160"/>
        <w:rPr>
          <w:rFonts w:cstheme="minorHAnsi"/>
          <w:shd w:val="clear" w:color="auto" w:fill="FFFFFF"/>
        </w:rPr>
      </w:pPr>
      <w:r w:rsidRPr="00691688">
        <w:rPr>
          <w:rFonts w:cstheme="minorHAnsi"/>
          <w:shd w:val="clear" w:color="auto" w:fill="FFFFFF"/>
        </w:rPr>
        <w:t xml:space="preserve">In July 2019, UNCITRAL formally adopted this Model Law along with its Guide to Enactment and a text on the obligations of directors of enterprise group companies, which are </w:t>
      </w:r>
      <w:r w:rsidR="005F7535">
        <w:rPr>
          <w:rFonts w:cstheme="minorHAnsi"/>
          <w:shd w:val="clear" w:color="auto" w:fill="FFFFFF"/>
        </w:rPr>
        <w:t>being</w:t>
      </w:r>
      <w:r w:rsidRPr="00691688">
        <w:rPr>
          <w:rFonts w:cstheme="minorHAnsi"/>
          <w:shd w:val="clear" w:color="auto" w:fill="FFFFFF"/>
        </w:rPr>
        <w:t xml:space="preserve"> added </w:t>
      </w:r>
      <w:r w:rsidR="005F7535">
        <w:rPr>
          <w:rFonts w:cstheme="minorHAnsi"/>
          <w:shd w:val="clear" w:color="auto" w:fill="FFFFFF"/>
        </w:rPr>
        <w:t>to</w:t>
      </w:r>
      <w:r w:rsidRPr="00691688">
        <w:rPr>
          <w:rFonts w:cstheme="minorHAnsi"/>
          <w:shd w:val="clear" w:color="auto" w:fill="FFFFFF"/>
        </w:rPr>
        <w:t xml:space="preserve"> </w:t>
      </w:r>
      <w:r w:rsidR="005F7535">
        <w:rPr>
          <w:rFonts w:cstheme="minorHAnsi"/>
          <w:shd w:val="clear" w:color="auto" w:fill="FFFFFF"/>
        </w:rPr>
        <w:t>P</w:t>
      </w:r>
      <w:r w:rsidRPr="00691688">
        <w:rPr>
          <w:rFonts w:cstheme="minorHAnsi"/>
          <w:shd w:val="clear" w:color="auto" w:fill="FFFFFF"/>
        </w:rPr>
        <w:t xml:space="preserve">art </w:t>
      </w:r>
      <w:r w:rsidR="005F7535">
        <w:rPr>
          <w:rFonts w:cstheme="minorHAnsi"/>
          <w:shd w:val="clear" w:color="auto" w:fill="FFFFFF"/>
        </w:rPr>
        <w:t>F</w:t>
      </w:r>
      <w:r w:rsidRPr="00691688">
        <w:rPr>
          <w:rFonts w:cstheme="minorHAnsi"/>
          <w:shd w:val="clear" w:color="auto" w:fill="FFFFFF"/>
        </w:rPr>
        <w:t>our of the UNCITRAL Legislative Guide on Insolvency Law.</w:t>
      </w:r>
      <w:r w:rsidRPr="00691688">
        <w:rPr>
          <w:rStyle w:val="FootnoteReference"/>
          <w:rFonts w:cstheme="minorHAnsi"/>
          <w:shd w:val="clear" w:color="auto" w:fill="FFFFFF"/>
        </w:rPr>
        <w:footnoteReference w:id="76"/>
      </w:r>
      <w:r w:rsidRPr="00691688">
        <w:rPr>
          <w:rFonts w:cstheme="minorHAnsi"/>
          <w:shd w:val="clear" w:color="auto" w:fill="FFFFFF"/>
        </w:rPr>
        <w:t xml:space="preserve">  </w:t>
      </w:r>
    </w:p>
    <w:p w14:paraId="7F6971A8" w14:textId="58A68231" w:rsidR="000E11D6" w:rsidRPr="00691688" w:rsidRDefault="000E11D6" w:rsidP="00864740">
      <w:pPr>
        <w:pStyle w:val="Heading3"/>
        <w:numPr>
          <w:ilvl w:val="0"/>
          <w:numId w:val="24"/>
        </w:numPr>
        <w:rPr>
          <w:rFonts w:asciiTheme="minorHAnsi" w:hAnsiTheme="minorHAnsi" w:cstheme="minorHAnsi"/>
          <w:i/>
          <w:iCs/>
          <w:color w:val="auto"/>
          <w:sz w:val="22"/>
          <w:szCs w:val="22"/>
        </w:rPr>
      </w:pPr>
      <w:r w:rsidRPr="00691688">
        <w:rPr>
          <w:rFonts w:asciiTheme="minorHAnsi" w:hAnsiTheme="minorHAnsi" w:cstheme="minorHAnsi"/>
          <w:b/>
          <w:bCs/>
          <w:color w:val="auto"/>
          <w:sz w:val="22"/>
          <w:szCs w:val="22"/>
        </w:rPr>
        <w:t xml:space="preserve">Ongoing Work by WGV: </w:t>
      </w:r>
      <w:r w:rsidRPr="00691688">
        <w:rPr>
          <w:rStyle w:val="Strong"/>
          <w:rFonts w:asciiTheme="minorHAnsi" w:hAnsiTheme="minorHAnsi" w:cstheme="minorHAnsi"/>
          <w:i/>
          <w:iCs/>
          <w:color w:val="auto"/>
          <w:sz w:val="22"/>
          <w:szCs w:val="22"/>
        </w:rPr>
        <w:t>Micro/Small/Medium-Sized Enterprises</w:t>
      </w:r>
    </w:p>
    <w:p w14:paraId="0B3A23C2" w14:textId="77777777" w:rsidR="000E11D6" w:rsidRPr="00691688" w:rsidRDefault="000E11D6" w:rsidP="00B62D5B">
      <w:pPr>
        <w:pStyle w:val="NoSpacing"/>
        <w:rPr>
          <w:rFonts w:cstheme="minorHAnsi"/>
        </w:rPr>
      </w:pPr>
    </w:p>
    <w:p w14:paraId="7C68736B" w14:textId="63491B4B" w:rsidR="000E11D6" w:rsidRPr="00691688" w:rsidRDefault="000E11D6" w:rsidP="00527F48">
      <w:pPr>
        <w:pStyle w:val="NoSpacing"/>
        <w:spacing w:after="160"/>
        <w:rPr>
          <w:rFonts w:cstheme="minorHAnsi"/>
          <w:lang w:val="en-GB"/>
        </w:rPr>
      </w:pPr>
      <w:r w:rsidRPr="00691688">
        <w:rPr>
          <w:rStyle w:val="Strong"/>
          <w:rFonts w:cstheme="minorHAnsi"/>
          <w:b w:val="0"/>
          <w:bCs w:val="0"/>
        </w:rPr>
        <w:t xml:space="preserve">UNCITRAL’s WGI is </w:t>
      </w:r>
      <w:r w:rsidRPr="00691688">
        <w:rPr>
          <w:rFonts w:cstheme="minorHAnsi"/>
        </w:rPr>
        <w:t>working on</w:t>
      </w:r>
      <w:r w:rsidRPr="00691688">
        <w:rPr>
          <w:rFonts w:cstheme="minorHAnsi"/>
          <w:b/>
          <w:bCs/>
        </w:rPr>
        <w:t xml:space="preserve"> </w:t>
      </w:r>
      <w:r w:rsidRPr="00691688">
        <w:rPr>
          <w:rStyle w:val="Strong"/>
          <w:rFonts w:cstheme="minorHAnsi"/>
        </w:rPr>
        <w:t>Micro/Small/Medium-Sized Enterprises</w:t>
      </w:r>
      <w:r w:rsidRPr="00691688">
        <w:rPr>
          <w:rStyle w:val="Strong"/>
          <w:rFonts w:cstheme="minorHAnsi"/>
          <w:b w:val="0"/>
          <w:bCs w:val="0"/>
          <w:i/>
          <w:iCs/>
        </w:rPr>
        <w:t xml:space="preserve"> </w:t>
      </w:r>
      <w:r w:rsidRPr="00691688">
        <w:rPr>
          <w:rStyle w:val="Strong"/>
          <w:rFonts w:cstheme="minorHAnsi"/>
          <w:b w:val="0"/>
          <w:bCs w:val="0"/>
        </w:rPr>
        <w:t>and</w:t>
      </w:r>
      <w:r w:rsidRPr="00691688">
        <w:rPr>
          <w:rFonts w:cstheme="minorHAnsi"/>
          <w:b/>
          <w:bCs/>
        </w:rPr>
        <w:t xml:space="preserve"> </w:t>
      </w:r>
      <w:r w:rsidRPr="00691688">
        <w:rPr>
          <w:rFonts w:cstheme="minorHAnsi"/>
        </w:rPr>
        <w:t xml:space="preserve">reducing the legal obstacles they face throughout their life cycle, in particular, in developing economies.  Associated with this, </w:t>
      </w:r>
      <w:r w:rsidRPr="00691688">
        <w:rPr>
          <w:rStyle w:val="Strong"/>
          <w:rFonts w:cstheme="minorHAnsi"/>
          <w:b w:val="0"/>
          <w:bCs w:val="0"/>
        </w:rPr>
        <w:t xml:space="preserve">WGV is addressing </w:t>
      </w:r>
      <w:r w:rsidRPr="00691688">
        <w:rPr>
          <w:rFonts w:cstheme="minorHAnsi"/>
        </w:rPr>
        <w:t xml:space="preserve">the particular difficulties </w:t>
      </w:r>
      <w:r w:rsidR="005F7535">
        <w:rPr>
          <w:rFonts w:cstheme="minorHAnsi"/>
        </w:rPr>
        <w:t>MSMEs</w:t>
      </w:r>
      <w:r w:rsidRPr="00691688">
        <w:rPr>
          <w:rFonts w:cstheme="minorHAnsi"/>
        </w:rPr>
        <w:t xml:space="preserve"> face in insolvency</w:t>
      </w:r>
      <w:r w:rsidRPr="00691688">
        <w:rPr>
          <w:rFonts w:cstheme="minorHAnsi"/>
          <w:lang w:val="en-GB"/>
        </w:rPr>
        <w:t xml:space="preserve">. This has resulted in a draft text on objectives and features of a simplified insolvency regime that may guide countries in how such insolvencies are to be administered.  The further development of this issue will be the subject of discussions at the next WGV meeting in Vienna in December 2019.  </w:t>
      </w:r>
    </w:p>
    <w:p w14:paraId="36C1A8E0" w14:textId="15F13E0A" w:rsidR="000E11D6" w:rsidRPr="00691688" w:rsidRDefault="000E11D6" w:rsidP="009578C2">
      <w:pPr>
        <w:pStyle w:val="Heading4"/>
        <w:numPr>
          <w:ilvl w:val="0"/>
          <w:numId w:val="24"/>
        </w:numPr>
        <w:rPr>
          <w:rFonts w:asciiTheme="minorHAnsi" w:hAnsiTheme="minorHAnsi" w:cstheme="minorHAnsi"/>
          <w:b/>
          <w:bCs/>
          <w:color w:val="auto"/>
        </w:rPr>
      </w:pPr>
      <w:r w:rsidRPr="00691688">
        <w:rPr>
          <w:rStyle w:val="Strong"/>
          <w:rFonts w:asciiTheme="minorHAnsi" w:hAnsiTheme="minorHAnsi" w:cstheme="minorHAnsi"/>
          <w:color w:val="auto"/>
        </w:rPr>
        <w:t>Possible Future Work</w:t>
      </w:r>
    </w:p>
    <w:p w14:paraId="2469252E" w14:textId="73381164" w:rsidR="000E11D6" w:rsidRPr="00691688" w:rsidRDefault="000E11D6" w:rsidP="00F14192">
      <w:pPr>
        <w:pStyle w:val="Heading5"/>
        <w:numPr>
          <w:ilvl w:val="1"/>
          <w:numId w:val="24"/>
        </w:numPr>
        <w:rPr>
          <w:rStyle w:val="Strong"/>
          <w:rFonts w:asciiTheme="minorHAnsi" w:hAnsiTheme="minorHAnsi" w:cstheme="minorHAnsi"/>
          <w:i/>
          <w:iCs/>
          <w:color w:val="auto"/>
        </w:rPr>
      </w:pPr>
      <w:r w:rsidRPr="00691688">
        <w:rPr>
          <w:rStyle w:val="Strong"/>
          <w:rFonts w:asciiTheme="minorHAnsi" w:hAnsiTheme="minorHAnsi" w:cstheme="minorHAnsi"/>
          <w:i/>
          <w:iCs/>
          <w:color w:val="auto"/>
        </w:rPr>
        <w:t xml:space="preserve">Choice of Law </w:t>
      </w:r>
    </w:p>
    <w:p w14:paraId="78BCCFBE" w14:textId="175CEA08" w:rsidR="000E11D6" w:rsidRPr="00691688" w:rsidRDefault="000E11D6" w:rsidP="00BA0202">
      <w:pPr>
        <w:spacing w:after="0" w:line="240" w:lineRule="auto"/>
        <w:jc w:val="both"/>
        <w:rPr>
          <w:rFonts w:cstheme="minorHAnsi"/>
        </w:rPr>
      </w:pPr>
      <w:r w:rsidRPr="00691688">
        <w:rPr>
          <w:rFonts w:cstheme="minorHAnsi"/>
        </w:rPr>
        <w:t>The pragmatic drafters of the 1997 Model Law, who recognised the difficulties in achieving domestic adoption of a cross-border insolvency instrument, were careful not to import the consequences of the foreign insolvency law into the local system.</w:t>
      </w:r>
      <w:r w:rsidRPr="00691688">
        <w:rPr>
          <w:rStyle w:val="FootnoteReference"/>
          <w:rFonts w:cstheme="minorHAnsi"/>
        </w:rPr>
        <w:footnoteReference w:id="77"/>
      </w:r>
      <w:r w:rsidRPr="00691688">
        <w:rPr>
          <w:rFonts w:cstheme="minorHAnsi"/>
        </w:rPr>
        <w:t xml:space="preserve"> </w:t>
      </w:r>
      <w:r w:rsidR="005F7535">
        <w:rPr>
          <w:rFonts w:cstheme="minorHAnsi"/>
        </w:rPr>
        <w:t xml:space="preserve"> </w:t>
      </w:r>
    </w:p>
    <w:p w14:paraId="4B54EAB9" w14:textId="77777777" w:rsidR="000E11D6" w:rsidRPr="00691688" w:rsidRDefault="000E11D6" w:rsidP="00BA0202">
      <w:pPr>
        <w:spacing w:after="0" w:line="240" w:lineRule="auto"/>
        <w:jc w:val="both"/>
        <w:rPr>
          <w:rFonts w:cstheme="minorHAnsi"/>
        </w:rPr>
      </w:pPr>
    </w:p>
    <w:p w14:paraId="7E7AB36A" w14:textId="2E510C80" w:rsidR="000E11D6" w:rsidRPr="00691688" w:rsidRDefault="000E11D6" w:rsidP="00306A05">
      <w:pPr>
        <w:rPr>
          <w:rFonts w:cstheme="minorHAnsi"/>
        </w:rPr>
      </w:pPr>
      <w:r w:rsidRPr="00691688">
        <w:rPr>
          <w:rFonts w:cstheme="minorHAnsi"/>
        </w:rPr>
        <w:t xml:space="preserve">Likewise, the recent ML on </w:t>
      </w:r>
      <w:r w:rsidRPr="00691688">
        <w:rPr>
          <w:rFonts w:cstheme="minorHAnsi"/>
          <w:b/>
          <w:bCs/>
        </w:rPr>
        <w:t xml:space="preserve">Recognition and Enforcement of Insolvency-Related Judgments </w:t>
      </w:r>
      <w:r w:rsidRPr="00691688">
        <w:rPr>
          <w:rFonts w:cstheme="minorHAnsi"/>
        </w:rPr>
        <w:t xml:space="preserve">does not expressly address choice of law (and choice of forum).  John Martin sees this as problematic, saying that the 2018 Model Law </w:t>
      </w:r>
    </w:p>
    <w:p w14:paraId="4441F267" w14:textId="466A92BA" w:rsidR="000E11D6" w:rsidRPr="00691688" w:rsidRDefault="000E11D6" w:rsidP="00BD3EFC">
      <w:pPr>
        <w:spacing w:line="240" w:lineRule="auto"/>
        <w:ind w:left="720"/>
        <w:rPr>
          <w:rFonts w:cstheme="minorHAnsi"/>
        </w:rPr>
      </w:pPr>
      <w:r w:rsidRPr="00691688">
        <w:rPr>
          <w:rFonts w:cstheme="minorHAnsi"/>
        </w:rPr>
        <w:t>“does not address the issue as to whether enforcement of an insolvency judgment can be declined where, consistently with choice of law principles, the law applied to the transaction was not, in the private international law sense, the appropriate choice of law. (This is a different issue to that addressed in article 14(g)(iii).)</w:t>
      </w:r>
      <w:r w:rsidRPr="00691688">
        <w:rPr>
          <w:rStyle w:val="FootnoteReference"/>
          <w:rFonts w:cstheme="minorHAnsi"/>
        </w:rPr>
        <w:footnoteReference w:id="78"/>
      </w:r>
      <w:r w:rsidRPr="00691688">
        <w:rPr>
          <w:rFonts w:cstheme="minorHAnsi"/>
        </w:rPr>
        <w:t xml:space="preserve"> </w:t>
      </w:r>
    </w:p>
    <w:p w14:paraId="30FD2DDD" w14:textId="77777777" w:rsidR="000E11D6" w:rsidRPr="00691688" w:rsidRDefault="000E11D6" w:rsidP="00BD3EFC">
      <w:pPr>
        <w:spacing w:line="240" w:lineRule="auto"/>
        <w:ind w:left="720"/>
        <w:rPr>
          <w:rFonts w:cstheme="minorHAnsi"/>
        </w:rPr>
      </w:pPr>
      <w:r w:rsidRPr="00691688">
        <w:rPr>
          <w:rFonts w:cstheme="minorHAnsi"/>
        </w:rPr>
        <w:t xml:space="preserve">This is a highly significant omission. With preferences, for example, US and Australian preference law is materially the same except that our look back period is 6 months, compared to their 3-month period. With an international insolvency and a transaction with a US/Australian flavour that occurred, say, 5 months before the relevant date, the selection to be made between Australian and US preference law will be determinative of the outcome of the dispute. Similarly, where the insolvency/transaction has a UK/US dimension (as in both Maxwell and Rubin v </w:t>
      </w:r>
      <w:proofErr w:type="spellStart"/>
      <w:r w:rsidRPr="00691688">
        <w:rPr>
          <w:rFonts w:cstheme="minorHAnsi"/>
        </w:rPr>
        <w:t>Eurofinance</w:t>
      </w:r>
      <w:proofErr w:type="spellEnd"/>
      <w:r w:rsidRPr="00691688">
        <w:rPr>
          <w:rFonts w:cstheme="minorHAnsi"/>
        </w:rPr>
        <w:t xml:space="preserve">) or an Australian/UK dimension (as in Grant v New Cap Re), the forensic differences between Australian and English preference law will also likely mean that choice of law will be determinative of the dispute”. </w:t>
      </w:r>
    </w:p>
    <w:p w14:paraId="051A3D5E" w14:textId="2A418866" w:rsidR="000E11D6" w:rsidRPr="00691688" w:rsidRDefault="000E11D6" w:rsidP="00306A05">
      <w:pPr>
        <w:spacing w:after="0" w:line="240" w:lineRule="auto"/>
        <w:jc w:val="both"/>
        <w:rPr>
          <w:rFonts w:cstheme="minorHAnsi"/>
        </w:rPr>
      </w:pPr>
      <w:r w:rsidRPr="00691688">
        <w:rPr>
          <w:rFonts w:cstheme="minorHAnsi"/>
        </w:rPr>
        <w:t xml:space="preserve">As argued in </w:t>
      </w:r>
      <w:r w:rsidR="00F01AF5">
        <w:rPr>
          <w:rFonts w:cstheme="minorHAnsi"/>
        </w:rPr>
        <w:t xml:space="preserve">John Martin’s and my </w:t>
      </w:r>
      <w:r w:rsidRPr="00691688">
        <w:rPr>
          <w:rFonts w:cstheme="minorHAnsi"/>
        </w:rPr>
        <w:t xml:space="preserve">paper on </w:t>
      </w:r>
      <w:r w:rsidR="00F01AF5">
        <w:rPr>
          <w:rFonts w:cstheme="minorHAnsi"/>
        </w:rPr>
        <w:t>‘</w:t>
      </w:r>
      <w:r w:rsidRPr="00691688">
        <w:rPr>
          <w:rFonts w:cstheme="minorHAnsi"/>
        </w:rPr>
        <w:t>Conflict and Consistency in Cross border Insolvency Judgments</w:t>
      </w:r>
      <w:r w:rsidR="00F01AF5">
        <w:rPr>
          <w:rFonts w:cstheme="minorHAnsi"/>
        </w:rPr>
        <w:t>’</w:t>
      </w:r>
      <w:r w:rsidRPr="00691688">
        <w:rPr>
          <w:rFonts w:cstheme="minorHAnsi"/>
        </w:rPr>
        <w:t xml:space="preserve"> presented at UNCITRAL’s 50th Anniversary Congress in 2017, if consensus can be achieved regarding choice of law rules, the risk of inconsistent judgments will largely be avoided.</w:t>
      </w:r>
      <w:r w:rsidRPr="00691688">
        <w:rPr>
          <w:rStyle w:val="FootnoteReference"/>
          <w:rFonts w:cstheme="minorHAnsi"/>
        </w:rPr>
        <w:footnoteReference w:id="79"/>
      </w:r>
      <w:r w:rsidRPr="00691688">
        <w:rPr>
          <w:rFonts w:cstheme="minorHAnsi"/>
        </w:rPr>
        <w:t xml:space="preserve">  </w:t>
      </w:r>
    </w:p>
    <w:p w14:paraId="68027BDF" w14:textId="3A74AD22" w:rsidR="000E11D6" w:rsidRPr="00691688" w:rsidRDefault="000E11D6" w:rsidP="00B62D5B">
      <w:pPr>
        <w:pStyle w:val="NoSpacing"/>
        <w:rPr>
          <w:rFonts w:cstheme="minorHAnsi"/>
        </w:rPr>
      </w:pPr>
    </w:p>
    <w:p w14:paraId="349B0257" w14:textId="3E5D292F" w:rsidR="000E11D6" w:rsidRPr="00691688" w:rsidRDefault="000E11D6" w:rsidP="00910159">
      <w:pPr>
        <w:pStyle w:val="NoSpacing"/>
        <w:rPr>
          <w:rFonts w:eastAsia="Times New Roman" w:cstheme="minorHAnsi"/>
          <w:lang w:eastAsia="en-AU"/>
        </w:rPr>
      </w:pPr>
      <w:r w:rsidRPr="00691688">
        <w:rPr>
          <w:rFonts w:cstheme="minorHAnsi"/>
        </w:rPr>
        <w:t xml:space="preserve">It is encouraging to see that conflict-of-law issues in insolvency have been </w:t>
      </w:r>
      <w:r w:rsidRPr="00691688">
        <w:rPr>
          <w:rFonts w:eastAsia="Times New Roman" w:cstheme="minorHAnsi"/>
          <w:lang w:eastAsia="en-AU"/>
        </w:rPr>
        <w:t xml:space="preserve">listed for a Colloquium discussion in May 2020, following the NY WGV meeting.  </w:t>
      </w:r>
    </w:p>
    <w:p w14:paraId="39B58937" w14:textId="77777777" w:rsidR="000E11D6" w:rsidRPr="00691688" w:rsidRDefault="000E11D6" w:rsidP="00910159">
      <w:pPr>
        <w:pStyle w:val="NoSpacing"/>
        <w:rPr>
          <w:rFonts w:eastAsia="Times New Roman" w:cstheme="minorHAnsi"/>
          <w:lang w:eastAsia="en-AU"/>
        </w:rPr>
      </w:pPr>
    </w:p>
    <w:p w14:paraId="42570E13" w14:textId="1C8412A4" w:rsidR="000E11D6" w:rsidRPr="00691688" w:rsidRDefault="000E11D6" w:rsidP="00115176">
      <w:pPr>
        <w:pStyle w:val="Heading5"/>
        <w:rPr>
          <w:rStyle w:val="Strong"/>
          <w:rFonts w:asciiTheme="minorHAnsi" w:hAnsiTheme="minorHAnsi" w:cstheme="minorHAnsi"/>
          <w:i/>
          <w:iCs/>
          <w:color w:val="auto"/>
        </w:rPr>
      </w:pPr>
      <w:r w:rsidRPr="00691688">
        <w:rPr>
          <w:rStyle w:val="Strong"/>
          <w:rFonts w:asciiTheme="minorHAnsi" w:hAnsiTheme="minorHAnsi" w:cstheme="minorHAnsi"/>
          <w:i/>
          <w:iCs/>
          <w:color w:val="auto"/>
        </w:rPr>
        <w:t>5.2</w:t>
      </w:r>
      <w:r w:rsidRPr="00691688">
        <w:rPr>
          <w:rStyle w:val="Strong"/>
          <w:rFonts w:asciiTheme="minorHAnsi" w:hAnsiTheme="minorHAnsi" w:cstheme="minorHAnsi"/>
          <w:i/>
          <w:iCs/>
          <w:color w:val="auto"/>
        </w:rPr>
        <w:tab/>
        <w:t>Asset tracing</w:t>
      </w:r>
    </w:p>
    <w:p w14:paraId="2D948CD3" w14:textId="0DE62A3E" w:rsidR="00B62D5B" w:rsidRPr="00691688" w:rsidRDefault="000E11D6" w:rsidP="00B62D5B">
      <w:pPr>
        <w:pStyle w:val="NoSpacing"/>
        <w:rPr>
          <w:rFonts w:eastAsia="Times New Roman" w:cstheme="minorHAnsi"/>
          <w:lang w:eastAsia="en-AU"/>
        </w:rPr>
      </w:pPr>
      <w:r w:rsidRPr="00691688">
        <w:rPr>
          <w:rFonts w:cstheme="minorHAnsi"/>
        </w:rPr>
        <w:t xml:space="preserve">WGV is also discussing whether a US proposal for a </w:t>
      </w:r>
      <w:r w:rsidRPr="00691688">
        <w:rPr>
          <w:rFonts w:cstheme="minorHAnsi"/>
          <w:b/>
          <w:bCs/>
        </w:rPr>
        <w:t xml:space="preserve">model law on cross-border asset </w:t>
      </w:r>
      <w:proofErr w:type="spellStart"/>
      <w:r w:rsidRPr="00691688">
        <w:rPr>
          <w:rFonts w:cstheme="minorHAnsi"/>
          <w:b/>
          <w:bCs/>
        </w:rPr>
        <w:t>tracing</w:t>
      </w:r>
      <w:proofErr w:type="spellEnd"/>
      <w:r w:rsidRPr="00691688">
        <w:rPr>
          <w:rFonts w:cstheme="minorHAnsi"/>
        </w:rPr>
        <w:t xml:space="preserve"> </w:t>
      </w:r>
      <w:r w:rsidRPr="00691688">
        <w:rPr>
          <w:rFonts w:cstheme="minorHAnsi"/>
          <w:b/>
          <w:bCs/>
        </w:rPr>
        <w:t>and recovery</w:t>
      </w:r>
      <w:r w:rsidRPr="00691688">
        <w:rPr>
          <w:rFonts w:cstheme="minorHAnsi"/>
        </w:rPr>
        <w:t xml:space="preserve"> is an appropriate subject for WGV work.  </w:t>
      </w:r>
      <w:r w:rsidR="00631C85">
        <w:rPr>
          <w:rFonts w:cstheme="minorHAnsi"/>
        </w:rPr>
        <w:t>This topic</w:t>
      </w:r>
      <w:r w:rsidRPr="00691688">
        <w:rPr>
          <w:rFonts w:cstheme="minorHAnsi"/>
        </w:rPr>
        <w:t xml:space="preserve"> is listed for a Colloquium discussion in</w:t>
      </w:r>
      <w:r w:rsidRPr="00691688">
        <w:rPr>
          <w:rFonts w:eastAsia="Times New Roman" w:cstheme="minorHAnsi"/>
          <w:lang w:eastAsia="en-AU"/>
        </w:rPr>
        <w:t xml:space="preserve"> December 2019, following the next </w:t>
      </w:r>
      <w:r w:rsidRPr="00691688">
        <w:rPr>
          <w:rFonts w:cstheme="minorHAnsi"/>
        </w:rPr>
        <w:t xml:space="preserve">Vienna </w:t>
      </w:r>
      <w:r w:rsidRPr="00691688">
        <w:rPr>
          <w:rFonts w:eastAsia="Times New Roman" w:cstheme="minorHAnsi"/>
          <w:lang w:eastAsia="en-AU"/>
        </w:rPr>
        <w:t>WGV session.</w:t>
      </w:r>
      <w:r w:rsidRPr="00691688">
        <w:rPr>
          <w:rStyle w:val="FootnoteReference"/>
          <w:rFonts w:eastAsia="Times New Roman" w:cstheme="minorHAnsi"/>
          <w:lang w:eastAsia="en-AU"/>
        </w:rPr>
        <w:footnoteReference w:id="80"/>
      </w:r>
      <w:r w:rsidRPr="00691688">
        <w:rPr>
          <w:rFonts w:eastAsia="Times New Roman" w:cstheme="minorHAnsi"/>
          <w:lang w:eastAsia="en-AU"/>
        </w:rPr>
        <w:t xml:space="preserve"> </w:t>
      </w:r>
    </w:p>
    <w:p w14:paraId="36EB4715" w14:textId="77777777" w:rsidR="00B62D5B" w:rsidRPr="00691688" w:rsidRDefault="00B62D5B" w:rsidP="00B62D5B">
      <w:pPr>
        <w:pStyle w:val="NoSpacing"/>
        <w:rPr>
          <w:rFonts w:eastAsia="Times New Roman" w:cstheme="minorHAnsi"/>
          <w:lang w:eastAsia="en-AU"/>
        </w:rPr>
      </w:pPr>
    </w:p>
    <w:p w14:paraId="3F10B065" w14:textId="2A83FDE2" w:rsidR="00391658" w:rsidRPr="00691688" w:rsidRDefault="001E36E5" w:rsidP="0015186C">
      <w:pPr>
        <w:pStyle w:val="Heading2"/>
        <w:rPr>
          <w:rFonts w:asciiTheme="minorHAnsi" w:hAnsiTheme="minorHAnsi" w:cstheme="minorHAnsi"/>
          <w:b/>
          <w:bCs/>
          <w:color w:val="auto"/>
          <w:sz w:val="22"/>
          <w:szCs w:val="22"/>
        </w:rPr>
      </w:pPr>
      <w:r w:rsidRPr="00691688">
        <w:rPr>
          <w:rFonts w:asciiTheme="minorHAnsi" w:hAnsiTheme="minorHAnsi" w:cstheme="minorHAnsi"/>
          <w:b/>
          <w:bCs/>
          <w:color w:val="auto"/>
          <w:sz w:val="22"/>
          <w:szCs w:val="22"/>
        </w:rPr>
        <w:t>6</w:t>
      </w:r>
      <w:r w:rsidR="0015186C" w:rsidRPr="00691688">
        <w:rPr>
          <w:rFonts w:asciiTheme="minorHAnsi" w:hAnsiTheme="minorHAnsi" w:cstheme="minorHAnsi"/>
          <w:b/>
          <w:bCs/>
          <w:color w:val="auto"/>
          <w:sz w:val="22"/>
          <w:szCs w:val="22"/>
        </w:rPr>
        <w:tab/>
      </w:r>
      <w:r w:rsidR="00052925" w:rsidRPr="00691688">
        <w:rPr>
          <w:rFonts w:asciiTheme="minorHAnsi" w:hAnsiTheme="minorHAnsi" w:cstheme="minorHAnsi"/>
          <w:b/>
          <w:bCs/>
          <w:color w:val="auto"/>
          <w:sz w:val="22"/>
          <w:szCs w:val="22"/>
        </w:rPr>
        <w:t xml:space="preserve">Conclusion </w:t>
      </w:r>
    </w:p>
    <w:p w14:paraId="3786C1A6" w14:textId="64908AFA" w:rsidR="0015186C" w:rsidRPr="00691688" w:rsidRDefault="0015186C" w:rsidP="00DA2E28">
      <w:pPr>
        <w:pStyle w:val="NoSpacing"/>
        <w:rPr>
          <w:rFonts w:eastAsia="Arial" w:cstheme="minorHAnsi"/>
        </w:rPr>
      </w:pPr>
      <w:r w:rsidRPr="00691688">
        <w:rPr>
          <w:rFonts w:cstheme="minorHAnsi"/>
        </w:rPr>
        <w:t xml:space="preserve">And </w:t>
      </w:r>
      <w:r w:rsidR="00BD3EFC" w:rsidRPr="00691688">
        <w:rPr>
          <w:rFonts w:cstheme="minorHAnsi"/>
        </w:rPr>
        <w:t xml:space="preserve">so </w:t>
      </w:r>
      <w:r w:rsidRPr="00691688">
        <w:rPr>
          <w:rFonts w:cstheme="minorHAnsi"/>
        </w:rPr>
        <w:t>concl</w:t>
      </w:r>
      <w:r w:rsidR="006A6618" w:rsidRPr="00691688">
        <w:rPr>
          <w:rFonts w:cstheme="minorHAnsi"/>
        </w:rPr>
        <w:t>u</w:t>
      </w:r>
      <w:r w:rsidRPr="00691688">
        <w:rPr>
          <w:rFonts w:cstheme="minorHAnsi"/>
        </w:rPr>
        <w:t>d</w:t>
      </w:r>
      <w:r w:rsidR="006A6618" w:rsidRPr="00691688">
        <w:rPr>
          <w:rFonts w:cstheme="minorHAnsi"/>
        </w:rPr>
        <w:t>e</w:t>
      </w:r>
      <w:r w:rsidRPr="00691688">
        <w:rPr>
          <w:rFonts w:cstheme="minorHAnsi"/>
        </w:rPr>
        <w:t xml:space="preserve">s my brief </w:t>
      </w:r>
      <w:r w:rsidR="00D23E3C" w:rsidRPr="00691688">
        <w:rPr>
          <w:rFonts w:cstheme="minorHAnsi"/>
        </w:rPr>
        <w:t xml:space="preserve">history of UNCITRAL’s work </w:t>
      </w:r>
      <w:r w:rsidR="00631C85">
        <w:rPr>
          <w:rFonts w:cstheme="minorHAnsi"/>
        </w:rPr>
        <w:t xml:space="preserve">on insolvency </w:t>
      </w:r>
      <w:r w:rsidR="00D23E3C" w:rsidRPr="00691688">
        <w:rPr>
          <w:rFonts w:cstheme="minorHAnsi"/>
        </w:rPr>
        <w:t xml:space="preserve">as well as its </w:t>
      </w:r>
      <w:r w:rsidR="005C7C5C" w:rsidRPr="00691688">
        <w:rPr>
          <w:rFonts w:cstheme="minorHAnsi"/>
        </w:rPr>
        <w:t>current</w:t>
      </w:r>
      <w:r w:rsidR="00D23E3C" w:rsidRPr="00691688">
        <w:rPr>
          <w:rFonts w:cstheme="minorHAnsi"/>
        </w:rPr>
        <w:t xml:space="preserve"> and </w:t>
      </w:r>
      <w:r w:rsidR="00BD3EFC" w:rsidRPr="00691688">
        <w:rPr>
          <w:rFonts w:cstheme="minorHAnsi"/>
        </w:rPr>
        <w:t xml:space="preserve">potential future </w:t>
      </w:r>
      <w:r w:rsidR="00D23E3C" w:rsidRPr="00691688">
        <w:rPr>
          <w:rFonts w:cstheme="minorHAnsi"/>
        </w:rPr>
        <w:t>projects</w:t>
      </w:r>
      <w:r w:rsidR="00D00BF7">
        <w:rPr>
          <w:rFonts w:cstheme="minorHAnsi"/>
        </w:rPr>
        <w:t xml:space="preserve"> in the area</w:t>
      </w:r>
      <w:r w:rsidR="00D23E3C" w:rsidRPr="00691688">
        <w:rPr>
          <w:rFonts w:cstheme="minorHAnsi"/>
        </w:rPr>
        <w:t xml:space="preserve">. I will now hand over to </w:t>
      </w:r>
      <w:r w:rsidR="00D23E3C" w:rsidRPr="00691688">
        <w:rPr>
          <w:rFonts w:cstheme="minorHAnsi"/>
          <w:b/>
          <w:bCs/>
        </w:rPr>
        <w:t>Scott Butler</w:t>
      </w:r>
      <w:r w:rsidR="00D23E3C" w:rsidRPr="00691688">
        <w:rPr>
          <w:rFonts w:cstheme="minorHAnsi"/>
        </w:rPr>
        <w:t xml:space="preserve"> who will provide a practitioner’s perspective and comment on </w:t>
      </w:r>
      <w:r w:rsidR="005C7C5C" w:rsidRPr="00691688">
        <w:rPr>
          <w:rFonts w:cstheme="minorHAnsi"/>
        </w:rPr>
        <w:t xml:space="preserve">some </w:t>
      </w:r>
      <w:r w:rsidR="005321D8" w:rsidRPr="00691688">
        <w:rPr>
          <w:rFonts w:cstheme="minorHAnsi"/>
        </w:rPr>
        <w:t xml:space="preserve">key </w:t>
      </w:r>
      <w:r w:rsidR="00D23E3C" w:rsidRPr="00691688">
        <w:rPr>
          <w:rFonts w:eastAsia="Arial" w:cstheme="minorHAnsi"/>
        </w:rPr>
        <w:t xml:space="preserve">implications of Australia’s adoption of the 1997 ML, </w:t>
      </w:r>
      <w:r w:rsidR="00DA2E28" w:rsidRPr="00691688">
        <w:rPr>
          <w:rFonts w:eastAsia="Arial" w:cstheme="minorHAnsi"/>
        </w:rPr>
        <w:t>including</w:t>
      </w:r>
      <w:r w:rsidR="00D23E3C" w:rsidRPr="00691688">
        <w:rPr>
          <w:rFonts w:eastAsia="Arial" w:cstheme="minorHAnsi"/>
        </w:rPr>
        <w:t xml:space="preserve"> </w:t>
      </w:r>
      <w:r w:rsidR="0085301C" w:rsidRPr="00691688">
        <w:rPr>
          <w:rFonts w:eastAsia="Arial" w:cstheme="minorHAnsi"/>
        </w:rPr>
        <w:t xml:space="preserve">some </w:t>
      </w:r>
      <w:r w:rsidR="00FC2E73" w:rsidRPr="00691688">
        <w:rPr>
          <w:rFonts w:eastAsia="Arial" w:cstheme="minorHAnsi"/>
        </w:rPr>
        <w:t>suggestions</w:t>
      </w:r>
      <w:r w:rsidR="0085301C" w:rsidRPr="00691688">
        <w:rPr>
          <w:rFonts w:eastAsia="Arial" w:cstheme="minorHAnsi"/>
        </w:rPr>
        <w:t xml:space="preserve"> </w:t>
      </w:r>
      <w:r w:rsidR="00471182" w:rsidRPr="00691688">
        <w:rPr>
          <w:rFonts w:eastAsia="Arial" w:cstheme="minorHAnsi"/>
        </w:rPr>
        <w:t>for</w:t>
      </w:r>
      <w:r w:rsidR="00FC2E73" w:rsidRPr="00691688">
        <w:rPr>
          <w:rFonts w:eastAsia="Arial" w:cstheme="minorHAnsi"/>
        </w:rPr>
        <w:t xml:space="preserve"> improv</w:t>
      </w:r>
      <w:r w:rsidR="00471182" w:rsidRPr="00691688">
        <w:rPr>
          <w:rFonts w:eastAsia="Arial" w:cstheme="minorHAnsi"/>
        </w:rPr>
        <w:t>ing</w:t>
      </w:r>
      <w:r w:rsidR="00FC2E73" w:rsidRPr="00691688">
        <w:rPr>
          <w:rFonts w:eastAsia="Arial" w:cstheme="minorHAnsi"/>
        </w:rPr>
        <w:t xml:space="preserve"> Australia</w:t>
      </w:r>
      <w:r w:rsidR="005321D8" w:rsidRPr="00691688">
        <w:rPr>
          <w:rFonts w:eastAsia="Arial" w:cstheme="minorHAnsi"/>
        </w:rPr>
        <w:t xml:space="preserve">’s current </w:t>
      </w:r>
      <w:r w:rsidR="00FC2E73" w:rsidRPr="00691688">
        <w:rPr>
          <w:rFonts w:eastAsia="Arial" w:cstheme="minorHAnsi"/>
        </w:rPr>
        <w:t xml:space="preserve">CBI laws. </w:t>
      </w:r>
      <w:r w:rsidR="00DA2E28" w:rsidRPr="00691688">
        <w:rPr>
          <w:rFonts w:eastAsia="Arial" w:cstheme="minorHAnsi"/>
        </w:rPr>
        <w:t xml:space="preserve"> </w:t>
      </w:r>
      <w:r w:rsidR="00471182" w:rsidRPr="00691688">
        <w:rPr>
          <w:rFonts w:eastAsia="Arial" w:cstheme="minorHAnsi"/>
        </w:rPr>
        <w:t>Laws that will no doubt be tested as</w:t>
      </w:r>
      <w:r w:rsidR="00414684" w:rsidRPr="00691688">
        <w:rPr>
          <w:rFonts w:eastAsia="Arial" w:cstheme="minorHAnsi"/>
        </w:rPr>
        <w:t xml:space="preserve"> </w:t>
      </w:r>
      <w:r w:rsidR="004A522D" w:rsidRPr="00691688">
        <w:rPr>
          <w:rFonts w:eastAsia="Arial" w:cstheme="minorHAnsi"/>
        </w:rPr>
        <w:t xml:space="preserve">individuals and companies </w:t>
      </w:r>
      <w:r w:rsidR="000429DB" w:rsidRPr="00691688">
        <w:rPr>
          <w:rFonts w:eastAsia="Arial" w:cstheme="minorHAnsi"/>
        </w:rPr>
        <w:t xml:space="preserve">increasingly </w:t>
      </w:r>
      <w:r w:rsidR="004A522D" w:rsidRPr="00691688">
        <w:rPr>
          <w:rFonts w:eastAsia="Arial" w:cstheme="minorHAnsi"/>
        </w:rPr>
        <w:t xml:space="preserve">engage in business across borders. </w:t>
      </w:r>
    </w:p>
    <w:sectPr w:rsidR="0015186C" w:rsidRPr="00691688">
      <w:footerReference w:type="default" r:id="rId11"/>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2239F" w14:textId="77777777" w:rsidR="007D6112" w:rsidRDefault="007D6112" w:rsidP="00390A4F">
      <w:pPr>
        <w:spacing w:after="0" w:line="240" w:lineRule="auto"/>
      </w:pPr>
      <w:r>
        <w:separator/>
      </w:r>
    </w:p>
  </w:endnote>
  <w:endnote w:type="continuationSeparator" w:id="0">
    <w:p w14:paraId="7A5D379A" w14:textId="77777777" w:rsidR="007D6112" w:rsidRDefault="007D6112" w:rsidP="00390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Roman">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5090848"/>
      <w:docPartObj>
        <w:docPartGallery w:val="Page Numbers (Bottom of Page)"/>
        <w:docPartUnique/>
      </w:docPartObj>
    </w:sdtPr>
    <w:sdtEndPr>
      <w:rPr>
        <w:noProof/>
      </w:rPr>
    </w:sdtEndPr>
    <w:sdtContent>
      <w:p w14:paraId="2553A2F5" w14:textId="3D6090DD" w:rsidR="00504BB0" w:rsidRDefault="00504B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147AC1" w14:textId="77777777" w:rsidR="00504BB0" w:rsidRDefault="00504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B5437" w14:textId="77777777" w:rsidR="007D6112" w:rsidRDefault="007D6112" w:rsidP="00390A4F">
      <w:pPr>
        <w:spacing w:after="0" w:line="240" w:lineRule="auto"/>
      </w:pPr>
      <w:r>
        <w:separator/>
      </w:r>
    </w:p>
  </w:footnote>
  <w:footnote w:type="continuationSeparator" w:id="0">
    <w:p w14:paraId="61374F55" w14:textId="77777777" w:rsidR="007D6112" w:rsidRDefault="007D6112" w:rsidP="00390A4F">
      <w:pPr>
        <w:spacing w:after="0" w:line="240" w:lineRule="auto"/>
      </w:pPr>
      <w:r>
        <w:continuationSeparator/>
      </w:r>
    </w:p>
  </w:footnote>
  <w:footnote w:id="1">
    <w:p w14:paraId="129F921D" w14:textId="3E6948B4" w:rsidR="000E11D6" w:rsidRPr="007C1481" w:rsidRDefault="000E11D6">
      <w:pPr>
        <w:pStyle w:val="FootnoteText"/>
        <w:rPr>
          <w:rFonts w:cstheme="minorHAnsi"/>
        </w:rPr>
      </w:pPr>
      <w:r w:rsidRPr="007C1481">
        <w:rPr>
          <w:rStyle w:val="FootnoteReference"/>
          <w:rFonts w:cstheme="minorHAnsi"/>
        </w:rPr>
        <w:footnoteRef/>
      </w:r>
      <w:r w:rsidRPr="007C1481">
        <w:rPr>
          <w:rFonts w:cstheme="minorHAnsi"/>
        </w:rPr>
        <w:t xml:space="preserve"> This paper includes material from a briefing paper prepared </w:t>
      </w:r>
      <w:r w:rsidR="002A64D5">
        <w:rPr>
          <w:rFonts w:cstheme="minorHAnsi"/>
        </w:rPr>
        <w:t xml:space="preserve">by UNCCA Fellow and Chair of </w:t>
      </w:r>
      <w:r w:rsidRPr="007C1481">
        <w:rPr>
          <w:rFonts w:cstheme="minorHAnsi"/>
        </w:rPr>
        <w:t xml:space="preserve">WGV Expert Advisory Group, QUT Adjunct Professor Michael Murray. </w:t>
      </w:r>
    </w:p>
  </w:footnote>
  <w:footnote w:id="2">
    <w:p w14:paraId="2D5C43B4" w14:textId="47814A59" w:rsidR="000E11D6" w:rsidRPr="007C1481" w:rsidRDefault="000E11D6" w:rsidP="004843DC">
      <w:pPr>
        <w:pStyle w:val="FootnoteText"/>
        <w:rPr>
          <w:rFonts w:cstheme="minorHAnsi"/>
        </w:rPr>
      </w:pPr>
      <w:r w:rsidRPr="007C1481">
        <w:rPr>
          <w:rStyle w:val="FootnoteReference"/>
          <w:rFonts w:cstheme="minorHAnsi"/>
        </w:rPr>
        <w:footnoteRef/>
      </w:r>
      <w:r w:rsidRPr="007C1481">
        <w:rPr>
          <w:rFonts w:cstheme="minorHAnsi"/>
        </w:rPr>
        <w:t xml:space="preserve"> </w:t>
      </w:r>
      <w:hyperlink r:id="rId1" w:history="1">
        <w:r w:rsidRPr="007C1481">
          <w:rPr>
            <w:rStyle w:val="Hyperlink"/>
            <w:rFonts w:cstheme="minorHAnsi"/>
            <w:color w:val="auto"/>
          </w:rPr>
          <w:t>https://uncca.org.au/</w:t>
        </w:r>
      </w:hyperlink>
      <w:r w:rsidRPr="007C1481">
        <w:rPr>
          <w:rFonts w:cstheme="minorHAnsi"/>
        </w:rPr>
        <w:t xml:space="preserve"> </w:t>
      </w:r>
      <w:r w:rsidR="002A05A9">
        <w:rPr>
          <w:rFonts w:cstheme="minorHAnsi"/>
        </w:rPr>
        <w:t xml:space="preserve">UNCCA has established Expert Advisory Groups </w:t>
      </w:r>
      <w:r w:rsidR="00B561CE">
        <w:rPr>
          <w:rFonts w:cstheme="minorHAnsi"/>
        </w:rPr>
        <w:t xml:space="preserve">based on </w:t>
      </w:r>
      <w:r w:rsidR="002A05A9">
        <w:rPr>
          <w:rFonts w:cstheme="minorHAnsi"/>
        </w:rPr>
        <w:t xml:space="preserve">the </w:t>
      </w:r>
      <w:r w:rsidR="00004352">
        <w:rPr>
          <w:rFonts w:cstheme="minorHAnsi"/>
        </w:rPr>
        <w:t xml:space="preserve">6 </w:t>
      </w:r>
      <w:r w:rsidR="002A05A9">
        <w:rPr>
          <w:rFonts w:cstheme="minorHAnsi"/>
        </w:rPr>
        <w:t xml:space="preserve">Working Groups and </w:t>
      </w:r>
      <w:r w:rsidR="00F96BAD">
        <w:rPr>
          <w:rFonts w:cstheme="minorHAnsi"/>
        </w:rPr>
        <w:t xml:space="preserve">UNCCA </w:t>
      </w:r>
      <w:r w:rsidR="00B561CE">
        <w:rPr>
          <w:rFonts w:cstheme="minorHAnsi"/>
        </w:rPr>
        <w:t>colleagues</w:t>
      </w:r>
      <w:r w:rsidR="00F96BAD">
        <w:rPr>
          <w:rFonts w:cstheme="minorHAnsi"/>
        </w:rPr>
        <w:t xml:space="preserve"> </w:t>
      </w:r>
      <w:r w:rsidR="00B561CE">
        <w:rPr>
          <w:rFonts w:cstheme="minorHAnsi"/>
        </w:rPr>
        <w:t>mentioned</w:t>
      </w:r>
      <w:r w:rsidR="00F96BAD">
        <w:rPr>
          <w:rFonts w:cstheme="minorHAnsi"/>
        </w:rPr>
        <w:t xml:space="preserve"> in this </w:t>
      </w:r>
      <w:r w:rsidR="00004352">
        <w:rPr>
          <w:rFonts w:cstheme="minorHAnsi"/>
        </w:rPr>
        <w:t xml:space="preserve">paper are all </w:t>
      </w:r>
      <w:r w:rsidR="00B561CE">
        <w:rPr>
          <w:rFonts w:cstheme="minorHAnsi"/>
        </w:rPr>
        <w:t xml:space="preserve">co-members </w:t>
      </w:r>
      <w:r w:rsidR="00004352">
        <w:rPr>
          <w:rFonts w:cstheme="minorHAnsi"/>
        </w:rPr>
        <w:t>of th</w:t>
      </w:r>
      <w:r w:rsidR="00B561CE">
        <w:rPr>
          <w:rFonts w:cstheme="minorHAnsi"/>
        </w:rPr>
        <w:t>e</w:t>
      </w:r>
      <w:r w:rsidR="00004352">
        <w:rPr>
          <w:rFonts w:cstheme="minorHAnsi"/>
        </w:rPr>
        <w:t xml:space="preserve"> WGV Expert Advisory Group. </w:t>
      </w:r>
    </w:p>
  </w:footnote>
  <w:footnote w:id="3">
    <w:p w14:paraId="57FFC460" w14:textId="77777777" w:rsidR="000E11D6" w:rsidRPr="007C1481" w:rsidRDefault="000E11D6" w:rsidP="00511EA6">
      <w:pPr>
        <w:spacing w:after="0" w:line="240" w:lineRule="auto"/>
        <w:rPr>
          <w:rFonts w:cstheme="minorHAnsi"/>
          <w:sz w:val="20"/>
          <w:szCs w:val="20"/>
        </w:rPr>
      </w:pPr>
      <w:r w:rsidRPr="007C1481">
        <w:rPr>
          <w:rStyle w:val="FootnoteReference"/>
          <w:rFonts w:cstheme="minorHAnsi"/>
          <w:sz w:val="20"/>
          <w:szCs w:val="20"/>
        </w:rPr>
        <w:footnoteRef/>
      </w:r>
      <w:r w:rsidRPr="007C1481">
        <w:rPr>
          <w:rFonts w:cstheme="minorHAnsi"/>
          <w:sz w:val="20"/>
          <w:szCs w:val="20"/>
        </w:rPr>
        <w:t xml:space="preserve"> Additional achievements: Participation at numerous UNCITRAL conferences and symposia in Asia and the Pacific, as speakers and session chairs; Participation at expert group meetings organized by the UNCITRAL Secretariat in preparation for Working Group Meetings; Conducting annual UNCITRAL Seminars in May each year in Canberra for government and private sector stakeholders; Delivering UN Day lectures in most Australian capitals in 2017, 2018 and now 2019.</w:t>
      </w:r>
    </w:p>
  </w:footnote>
  <w:footnote w:id="4">
    <w:p w14:paraId="1FDDA246" w14:textId="77777777" w:rsidR="000E11D6" w:rsidRPr="007C1481" w:rsidRDefault="000E11D6" w:rsidP="004843DC">
      <w:pPr>
        <w:spacing w:after="0" w:line="240" w:lineRule="auto"/>
        <w:rPr>
          <w:rFonts w:eastAsia="Times New Roman" w:cstheme="minorHAnsi"/>
          <w:sz w:val="20"/>
          <w:szCs w:val="20"/>
          <w:lang w:eastAsia="en-AU"/>
        </w:rPr>
      </w:pPr>
      <w:r w:rsidRPr="007C1481">
        <w:rPr>
          <w:rStyle w:val="FootnoteReference"/>
          <w:rFonts w:cstheme="minorHAnsi"/>
          <w:sz w:val="20"/>
          <w:szCs w:val="20"/>
        </w:rPr>
        <w:footnoteRef/>
      </w:r>
      <w:r w:rsidRPr="007C1481">
        <w:rPr>
          <w:rFonts w:cstheme="minorHAnsi"/>
          <w:sz w:val="20"/>
          <w:szCs w:val="20"/>
        </w:rPr>
        <w:t xml:space="preserve"> In its Preamble, the UN Charter sets out the aims of the UN which include </w:t>
      </w:r>
      <w:r w:rsidRPr="007C1481">
        <w:rPr>
          <w:rFonts w:eastAsia="Times New Roman" w:cstheme="minorHAnsi"/>
          <w:sz w:val="20"/>
          <w:szCs w:val="20"/>
          <w:lang w:eastAsia="en-AU"/>
        </w:rPr>
        <w:t xml:space="preserve">to employ international machinery for the promotion of the economic and social advancement of all peoples. These are elaborated on in </w:t>
      </w:r>
      <w:r w:rsidRPr="007C1481">
        <w:rPr>
          <w:rFonts w:cstheme="minorHAnsi"/>
          <w:sz w:val="20"/>
          <w:szCs w:val="20"/>
        </w:rPr>
        <w:t>Chapters IX and X which address international economic and social cooperation.</w:t>
      </w:r>
    </w:p>
  </w:footnote>
  <w:footnote w:id="5">
    <w:p w14:paraId="14A717DF" w14:textId="77777777" w:rsidR="000E11D6" w:rsidRPr="007C1481" w:rsidRDefault="000E11D6" w:rsidP="004843DC">
      <w:pPr>
        <w:pStyle w:val="FootnoteText"/>
        <w:rPr>
          <w:rFonts w:cstheme="minorHAnsi"/>
        </w:rPr>
      </w:pPr>
      <w:r w:rsidRPr="007C1481">
        <w:rPr>
          <w:rStyle w:val="FootnoteReference"/>
          <w:rFonts w:cstheme="minorHAnsi"/>
        </w:rPr>
        <w:footnoteRef/>
      </w:r>
      <w:r w:rsidRPr="007C1481">
        <w:rPr>
          <w:rFonts w:cstheme="minorHAnsi"/>
        </w:rPr>
        <w:t xml:space="preserve"> That is, “</w:t>
      </w:r>
      <w:r w:rsidRPr="007C1481">
        <w:rPr>
          <w:rFonts w:eastAsia="Times New Roman" w:cstheme="minorHAnsi"/>
          <w:lang w:eastAsia="en-AU"/>
        </w:rPr>
        <w:t xml:space="preserve">to employ international machinery for the promotion of the economic and social advancement of all peoples”: </w:t>
      </w:r>
      <w:hyperlink r:id="rId2" w:history="1">
        <w:r w:rsidRPr="007C1481">
          <w:rPr>
            <w:rStyle w:val="Hyperlink"/>
            <w:rFonts w:eastAsia="Times New Roman" w:cstheme="minorHAnsi"/>
            <w:color w:val="auto"/>
            <w:lang w:eastAsia="en-AU"/>
          </w:rPr>
          <w:t>https://www.un.org/en/charter-united-nations/</w:t>
        </w:r>
      </w:hyperlink>
      <w:r w:rsidRPr="007C1481">
        <w:rPr>
          <w:rFonts w:eastAsia="Times New Roman" w:cstheme="minorHAnsi"/>
          <w:lang w:eastAsia="en-AU"/>
        </w:rPr>
        <w:t xml:space="preserve"> </w:t>
      </w:r>
    </w:p>
  </w:footnote>
  <w:footnote w:id="6">
    <w:p w14:paraId="694B8194" w14:textId="77777777" w:rsidR="000E11D6" w:rsidRPr="007C1481" w:rsidRDefault="000E11D6" w:rsidP="004843DC">
      <w:pPr>
        <w:pStyle w:val="FootnoteText"/>
        <w:rPr>
          <w:rFonts w:cstheme="minorHAnsi"/>
        </w:rPr>
      </w:pPr>
      <w:r w:rsidRPr="007C1481">
        <w:rPr>
          <w:rStyle w:val="FootnoteReference"/>
          <w:rFonts w:cstheme="minorHAnsi"/>
        </w:rPr>
        <w:footnoteRef/>
      </w:r>
      <w:r w:rsidRPr="007C1481">
        <w:rPr>
          <w:rFonts w:cstheme="minorHAnsi"/>
        </w:rPr>
        <w:t xml:space="preserve"> </w:t>
      </w:r>
      <w:r w:rsidRPr="007C1481">
        <w:rPr>
          <w:rFonts w:cstheme="minorHAnsi"/>
          <w:shd w:val="clear" w:color="auto" w:fill="FFFFFF"/>
        </w:rPr>
        <w:t xml:space="preserve">UNCITRAL was established by the United Nations General Assembly resolution 2205 (XXI) of 17 December 1966. </w:t>
      </w:r>
      <w:r w:rsidRPr="007C1481">
        <w:rPr>
          <w:rFonts w:cstheme="minorHAnsi"/>
        </w:rPr>
        <w:t xml:space="preserve">Resolution 2205 (XXI) referred to the importance of </w:t>
      </w:r>
      <w:r w:rsidRPr="007C1481">
        <w:rPr>
          <w:rFonts w:eastAsia="Times New Roman" w:cstheme="minorHAnsi"/>
          <w:lang w:eastAsia="en-AU"/>
        </w:rPr>
        <w:t xml:space="preserve">international trade co-operation among States for the promotion of friendly relations and, consequently, for the maintenance of peace and security. </w:t>
      </w:r>
      <w:hyperlink r:id="rId3" w:history="1">
        <w:r w:rsidRPr="007C1481">
          <w:rPr>
            <w:rStyle w:val="Hyperlink"/>
            <w:rFonts w:cstheme="minorHAnsi"/>
            <w:color w:val="auto"/>
          </w:rPr>
          <w:t>https://uncitral.un.org/</w:t>
        </w:r>
      </w:hyperlink>
    </w:p>
  </w:footnote>
  <w:footnote w:id="7">
    <w:p w14:paraId="10B6F41E" w14:textId="29F0C33E" w:rsidR="000E11D6" w:rsidRPr="007C1481" w:rsidRDefault="000E11D6" w:rsidP="004843DC">
      <w:pPr>
        <w:pStyle w:val="FootnoteText"/>
        <w:rPr>
          <w:rFonts w:cstheme="minorHAnsi"/>
        </w:rPr>
      </w:pPr>
      <w:r w:rsidRPr="007C1481">
        <w:rPr>
          <w:rStyle w:val="FootnoteReference"/>
          <w:rFonts w:cstheme="minorHAnsi"/>
        </w:rPr>
        <w:footnoteRef/>
      </w:r>
      <w:r w:rsidRPr="007C1481">
        <w:rPr>
          <w:rFonts w:cstheme="minorHAnsi"/>
        </w:rPr>
        <w:t xml:space="preserve"> Paul Omar 2002, ‘The UNCITRAL Insolvency Initiative: A </w:t>
      </w:r>
      <w:r w:rsidR="00B024D5" w:rsidRPr="007C1481">
        <w:rPr>
          <w:rFonts w:cstheme="minorHAnsi"/>
        </w:rPr>
        <w:t>Five-Year</w:t>
      </w:r>
      <w:r w:rsidRPr="007C1481">
        <w:rPr>
          <w:rFonts w:cstheme="minorHAnsi"/>
        </w:rPr>
        <w:t xml:space="preserve"> Review’, The Paul J. Omar Collection in The International Insolvency Institute Academic Forum Collection, p 1.  </w:t>
      </w:r>
      <w:hyperlink r:id="rId4" w:history="1">
        <w:r w:rsidRPr="007C1481">
          <w:rPr>
            <w:rStyle w:val="Hyperlink"/>
            <w:rFonts w:cstheme="minorHAnsi"/>
            <w:color w:val="auto"/>
          </w:rPr>
          <w:t>https://www.iiiglobal.org/sites/default/files/uncitralinsolvencyinitiativefiveyearreview.pdf</w:t>
        </w:r>
      </w:hyperlink>
      <w:r w:rsidRPr="007C1481">
        <w:rPr>
          <w:rFonts w:cstheme="minorHAnsi"/>
        </w:rPr>
        <w:t xml:space="preserve"> </w:t>
      </w:r>
    </w:p>
  </w:footnote>
  <w:footnote w:id="8">
    <w:p w14:paraId="4EF52759" w14:textId="18F8260D" w:rsidR="000E11D6" w:rsidRPr="007C1481" w:rsidRDefault="000E11D6">
      <w:pPr>
        <w:pStyle w:val="FootnoteText"/>
        <w:rPr>
          <w:rFonts w:cstheme="minorHAnsi"/>
        </w:rPr>
      </w:pPr>
      <w:r w:rsidRPr="007C1481">
        <w:rPr>
          <w:rStyle w:val="FootnoteReference"/>
          <w:rFonts w:cstheme="minorHAnsi"/>
        </w:rPr>
        <w:footnoteRef/>
      </w:r>
      <w:r w:rsidRPr="007C1481">
        <w:rPr>
          <w:rFonts w:cstheme="minorHAnsi"/>
        </w:rPr>
        <w:t xml:space="preserve"> See Gerold Herrmann, ‘International Co-Operation on Cross-Border Insolvency Issues’ (1996) 24 </w:t>
      </w:r>
      <w:r w:rsidRPr="007C1481">
        <w:rPr>
          <w:rFonts w:cstheme="minorHAnsi"/>
          <w:i/>
          <w:iCs/>
        </w:rPr>
        <w:t>International Business Lawyer</w:t>
      </w:r>
      <w:r w:rsidRPr="007C1481">
        <w:rPr>
          <w:rFonts w:cstheme="minorHAnsi"/>
        </w:rPr>
        <w:t xml:space="preserve"> 218.</w:t>
      </w:r>
    </w:p>
  </w:footnote>
  <w:footnote w:id="9">
    <w:p w14:paraId="622CA3ED" w14:textId="194F9FB4" w:rsidR="000E11D6" w:rsidRPr="007C1481" w:rsidRDefault="000E11D6" w:rsidP="008E0EA3">
      <w:pPr>
        <w:spacing w:after="0" w:line="240" w:lineRule="auto"/>
        <w:rPr>
          <w:rFonts w:cstheme="minorHAnsi"/>
          <w:sz w:val="20"/>
          <w:szCs w:val="20"/>
        </w:rPr>
      </w:pPr>
      <w:r w:rsidRPr="007C1481">
        <w:rPr>
          <w:rStyle w:val="FootnoteReference"/>
          <w:rFonts w:cstheme="minorHAnsi"/>
          <w:sz w:val="20"/>
          <w:szCs w:val="20"/>
        </w:rPr>
        <w:footnoteRef/>
      </w:r>
      <w:r w:rsidRPr="007C1481">
        <w:rPr>
          <w:rFonts w:cstheme="minorHAnsi"/>
          <w:sz w:val="20"/>
          <w:szCs w:val="20"/>
        </w:rPr>
        <w:t xml:space="preserve"> This case study draws upon Rosalind Mason, “Cross-Border Insolvency Law: Where Private International Law and Insolvency Law Meet” in Paul Omar (ed), </w:t>
      </w:r>
      <w:r w:rsidRPr="007C1481">
        <w:rPr>
          <w:rStyle w:val="italic"/>
          <w:rFonts w:cstheme="minorHAnsi"/>
          <w:i/>
          <w:iCs/>
          <w:sz w:val="20"/>
          <w:szCs w:val="20"/>
          <w:shd w:val="clear" w:color="auto" w:fill="FFFFFF"/>
        </w:rPr>
        <w:t>International Insolvency Law: Themes and Perspectives</w:t>
      </w:r>
      <w:r w:rsidRPr="007C1481">
        <w:rPr>
          <w:rFonts w:cstheme="minorHAnsi"/>
          <w:sz w:val="20"/>
          <w:szCs w:val="20"/>
          <w:shd w:val="clear" w:color="auto" w:fill="FFFFFF"/>
        </w:rPr>
        <w:t xml:space="preserve"> (2008, Ashgate)</w:t>
      </w:r>
    </w:p>
  </w:footnote>
  <w:footnote w:id="10">
    <w:p w14:paraId="2345447A" w14:textId="75FC988A" w:rsidR="000E11D6" w:rsidRPr="007C1481" w:rsidRDefault="000E11D6" w:rsidP="007B0F81">
      <w:pPr>
        <w:spacing w:after="0" w:line="240" w:lineRule="auto"/>
        <w:rPr>
          <w:rFonts w:cstheme="minorHAnsi"/>
          <w:sz w:val="20"/>
          <w:szCs w:val="20"/>
        </w:rPr>
      </w:pPr>
      <w:r w:rsidRPr="007C1481">
        <w:rPr>
          <w:rStyle w:val="FootnoteReference"/>
          <w:rFonts w:cstheme="minorHAnsi"/>
          <w:sz w:val="20"/>
          <w:szCs w:val="20"/>
        </w:rPr>
        <w:footnoteRef/>
      </w:r>
      <w:r w:rsidRPr="007C1481">
        <w:rPr>
          <w:rFonts w:cstheme="minorHAnsi"/>
          <w:sz w:val="20"/>
          <w:szCs w:val="20"/>
        </w:rPr>
        <w:t xml:space="preserve"> Caroline Davies, “Robert Maxwell was to meet </w:t>
      </w:r>
      <w:r w:rsidR="001F29EA">
        <w:rPr>
          <w:rFonts w:cstheme="minorHAnsi"/>
          <w:sz w:val="20"/>
          <w:szCs w:val="20"/>
        </w:rPr>
        <w:t>b</w:t>
      </w:r>
      <w:r w:rsidRPr="007C1481">
        <w:rPr>
          <w:rFonts w:cstheme="minorHAnsi"/>
          <w:sz w:val="20"/>
          <w:szCs w:val="20"/>
        </w:rPr>
        <w:t xml:space="preserve">ank official the day he died, say sons” </w:t>
      </w:r>
      <w:r w:rsidRPr="007C1481">
        <w:rPr>
          <w:rFonts w:cstheme="minorHAnsi"/>
          <w:i/>
          <w:iCs/>
          <w:sz w:val="20"/>
          <w:szCs w:val="20"/>
        </w:rPr>
        <w:t xml:space="preserve">The Guardian </w:t>
      </w:r>
      <w:r w:rsidRPr="007C1481">
        <w:rPr>
          <w:rFonts w:cstheme="minorHAnsi"/>
          <w:sz w:val="20"/>
          <w:szCs w:val="20"/>
        </w:rPr>
        <w:t>(9 September 2018).</w:t>
      </w:r>
    </w:p>
  </w:footnote>
  <w:footnote w:id="11">
    <w:p w14:paraId="09EF743D" w14:textId="77777777" w:rsidR="000E11D6" w:rsidRPr="007C1481" w:rsidRDefault="000E11D6" w:rsidP="00544809">
      <w:pPr>
        <w:pStyle w:val="Normalsinglespace"/>
        <w:ind w:left="0"/>
        <w:rPr>
          <w:rFonts w:asciiTheme="minorHAnsi" w:hAnsiTheme="minorHAnsi" w:cstheme="minorHAnsi"/>
          <w:sz w:val="20"/>
        </w:rPr>
      </w:pPr>
      <w:r w:rsidRPr="007C1481">
        <w:rPr>
          <w:rStyle w:val="FootnoteReference"/>
          <w:rFonts w:asciiTheme="minorHAnsi" w:eastAsiaTheme="majorEastAsia" w:hAnsiTheme="minorHAnsi" w:cstheme="minorHAnsi"/>
          <w:sz w:val="20"/>
        </w:rPr>
        <w:footnoteRef/>
      </w:r>
      <w:r w:rsidRPr="007C1481">
        <w:rPr>
          <w:rFonts w:asciiTheme="minorHAnsi" w:hAnsiTheme="minorHAnsi" w:cstheme="minorHAnsi"/>
          <w:sz w:val="20"/>
        </w:rPr>
        <w:t xml:space="preserve"> </w:t>
      </w:r>
      <w:r w:rsidRPr="007C1481">
        <w:rPr>
          <w:rFonts w:asciiTheme="minorHAnsi" w:hAnsiTheme="minorHAnsi" w:cstheme="minorHAnsi"/>
          <w:i/>
          <w:iCs/>
          <w:sz w:val="20"/>
        </w:rPr>
        <w:t>Barclays Bank plc v Homan</w:t>
      </w:r>
      <w:r w:rsidRPr="007C1481">
        <w:rPr>
          <w:rFonts w:asciiTheme="minorHAnsi" w:hAnsiTheme="minorHAnsi" w:cstheme="minorHAnsi"/>
          <w:sz w:val="20"/>
        </w:rPr>
        <w:t xml:space="preserve"> [1993] BCLC 680 at 683 [</w:t>
      </w:r>
      <w:r w:rsidRPr="007C1481">
        <w:rPr>
          <w:rFonts w:asciiTheme="minorHAnsi" w:hAnsiTheme="minorHAnsi" w:cstheme="minorHAnsi"/>
          <w:i/>
          <w:iCs/>
          <w:sz w:val="20"/>
        </w:rPr>
        <w:t>sub nom Re Maxwell Communications Corp plc (No 2)</w:t>
      </w:r>
      <w:r w:rsidRPr="007C1481">
        <w:rPr>
          <w:rFonts w:asciiTheme="minorHAnsi" w:hAnsiTheme="minorHAnsi" w:cstheme="minorHAnsi"/>
          <w:sz w:val="20"/>
        </w:rPr>
        <w:t xml:space="preserve"> [1992] BCC 757].</w:t>
      </w:r>
    </w:p>
  </w:footnote>
  <w:footnote w:id="12">
    <w:p w14:paraId="170D6543" w14:textId="767ABB2D" w:rsidR="000E11D6" w:rsidRPr="007C1481" w:rsidRDefault="000E11D6">
      <w:pPr>
        <w:pStyle w:val="FootnoteText"/>
        <w:rPr>
          <w:rFonts w:cstheme="minorHAnsi"/>
        </w:rPr>
      </w:pPr>
      <w:r w:rsidRPr="007C1481">
        <w:rPr>
          <w:rStyle w:val="FootnoteReference"/>
          <w:rFonts w:cstheme="minorHAnsi"/>
        </w:rPr>
        <w:footnoteRef/>
      </w:r>
      <w:r w:rsidRPr="007C1481">
        <w:rPr>
          <w:rFonts w:cstheme="minorHAnsi"/>
        </w:rPr>
        <w:t xml:space="preserve"> </w:t>
      </w:r>
      <w:r w:rsidRPr="007C1481">
        <w:rPr>
          <w:rFonts w:cstheme="minorHAnsi"/>
          <w:lang w:val="en-US"/>
        </w:rPr>
        <w:t xml:space="preserve">UNCITRAL Practice Guide on Cross-Border Insolvency Cooperation 2009, p 36. </w:t>
      </w:r>
    </w:p>
  </w:footnote>
  <w:footnote w:id="13">
    <w:p w14:paraId="02E90234" w14:textId="507436C0" w:rsidR="000E11D6" w:rsidRPr="007C1481" w:rsidRDefault="000E11D6" w:rsidP="00796A98">
      <w:pPr>
        <w:pStyle w:val="Normalsinglespace"/>
        <w:ind w:left="0"/>
        <w:rPr>
          <w:rFonts w:asciiTheme="minorHAnsi" w:hAnsiTheme="minorHAnsi" w:cstheme="minorHAnsi"/>
          <w:sz w:val="20"/>
        </w:rPr>
      </w:pPr>
      <w:r w:rsidRPr="007C1481">
        <w:rPr>
          <w:rStyle w:val="FootnoteReference"/>
          <w:rFonts w:asciiTheme="minorHAnsi" w:eastAsiaTheme="majorEastAsia" w:hAnsiTheme="minorHAnsi" w:cstheme="minorHAnsi"/>
          <w:sz w:val="20"/>
        </w:rPr>
        <w:footnoteRef/>
      </w:r>
      <w:r w:rsidRPr="007C1481">
        <w:rPr>
          <w:rFonts w:asciiTheme="minorHAnsi" w:hAnsiTheme="minorHAnsi" w:cstheme="minorHAnsi"/>
          <w:sz w:val="20"/>
        </w:rPr>
        <w:t xml:space="preserve"> The protocol approved by the courts did not clearly address the choice of law and choice of forum questions generated by the voidable transaction litigation and so the courts were required to resort to principles of comity and choice of law: </w:t>
      </w:r>
      <w:r w:rsidRPr="007C1481">
        <w:rPr>
          <w:rFonts w:asciiTheme="minorHAnsi" w:hAnsiTheme="minorHAnsi" w:cstheme="minorHAnsi"/>
          <w:i/>
          <w:iCs/>
          <w:sz w:val="20"/>
        </w:rPr>
        <w:t xml:space="preserve">Maxwell Communication Corporation plc v Société </w:t>
      </w:r>
      <w:proofErr w:type="spellStart"/>
      <w:r w:rsidRPr="007C1481">
        <w:rPr>
          <w:rFonts w:asciiTheme="minorHAnsi" w:hAnsiTheme="minorHAnsi" w:cstheme="minorHAnsi"/>
          <w:i/>
          <w:iCs/>
          <w:sz w:val="20"/>
        </w:rPr>
        <w:t>Generale</w:t>
      </w:r>
      <w:proofErr w:type="spellEnd"/>
      <w:r w:rsidRPr="007C1481">
        <w:rPr>
          <w:rFonts w:asciiTheme="minorHAnsi" w:hAnsiTheme="minorHAnsi" w:cstheme="minorHAnsi"/>
          <w:sz w:val="20"/>
        </w:rPr>
        <w:t xml:space="preserve"> 93 F 3d 1036 at 1053 (2</w:t>
      </w:r>
      <w:r w:rsidRPr="007C1481">
        <w:rPr>
          <w:rFonts w:asciiTheme="minorHAnsi" w:hAnsiTheme="minorHAnsi" w:cstheme="minorHAnsi"/>
          <w:sz w:val="20"/>
          <w:vertAlign w:val="superscript"/>
        </w:rPr>
        <w:t>nd</w:t>
      </w:r>
      <w:r w:rsidRPr="007C1481">
        <w:rPr>
          <w:rFonts w:asciiTheme="minorHAnsi" w:hAnsiTheme="minorHAnsi" w:cstheme="minorHAnsi"/>
          <w:sz w:val="20"/>
        </w:rPr>
        <w:t xml:space="preserve"> Cir 1996). </w:t>
      </w:r>
    </w:p>
  </w:footnote>
  <w:footnote w:id="14">
    <w:p w14:paraId="4BC552BE" w14:textId="1E8942EF" w:rsidR="00901916" w:rsidRDefault="00901916">
      <w:pPr>
        <w:pStyle w:val="FootnoteText"/>
      </w:pPr>
      <w:r>
        <w:rPr>
          <w:rStyle w:val="FootnoteReference"/>
        </w:rPr>
        <w:footnoteRef/>
      </w:r>
      <w:r>
        <w:t xml:space="preserve"> </w:t>
      </w:r>
      <w:r w:rsidR="00094103">
        <w:t xml:space="preserve">At the 1992 Congress, </w:t>
      </w:r>
      <w:r w:rsidR="00094103" w:rsidRPr="007C1481">
        <w:rPr>
          <w:rFonts w:cstheme="minorHAnsi"/>
        </w:rPr>
        <w:t xml:space="preserve">Carlos </w:t>
      </w:r>
      <w:proofErr w:type="spellStart"/>
      <w:r w:rsidR="00094103" w:rsidRPr="007C1481">
        <w:rPr>
          <w:rFonts w:cstheme="minorHAnsi"/>
        </w:rPr>
        <w:t>Zeyen</w:t>
      </w:r>
      <w:proofErr w:type="spellEnd"/>
      <w:r w:rsidR="00094103" w:rsidRPr="007C1481">
        <w:rPr>
          <w:rFonts w:cstheme="minorHAnsi"/>
        </w:rPr>
        <w:t xml:space="preserve">, a lawyer from Luxembourg also referred to the global collapse of Bank of Credit and Commerce International (BCCI), which highlighted the lack of harmonization in the field of bankruptcy and insolvency proceedings in general. </w:t>
      </w:r>
      <w:r>
        <w:t xml:space="preserve"> </w:t>
      </w:r>
    </w:p>
  </w:footnote>
  <w:footnote w:id="15">
    <w:p w14:paraId="2E750061" w14:textId="63D51D72" w:rsidR="000E11D6" w:rsidRPr="007C1481" w:rsidRDefault="000E11D6">
      <w:pPr>
        <w:pStyle w:val="FootnoteText"/>
        <w:rPr>
          <w:rFonts w:cstheme="minorHAnsi"/>
        </w:rPr>
      </w:pPr>
      <w:r w:rsidRPr="007C1481">
        <w:rPr>
          <w:rStyle w:val="FootnoteReference"/>
          <w:rFonts w:cstheme="minorHAnsi"/>
        </w:rPr>
        <w:footnoteRef/>
      </w:r>
      <w:r w:rsidRPr="007C1481">
        <w:rPr>
          <w:rFonts w:cstheme="minorHAnsi"/>
        </w:rPr>
        <w:t xml:space="preserve"> </w:t>
      </w:r>
      <w:hyperlink r:id="rId5" w:history="1">
        <w:r w:rsidRPr="007C1481">
          <w:rPr>
            <w:rStyle w:val="Hyperlink"/>
            <w:rFonts w:cstheme="minorHAnsi"/>
            <w:color w:val="auto"/>
          </w:rPr>
          <w:t>https://uncitral.un.org/sites/uncitral.un.org/files/media-documents/EN/Colloquia/uniform_commercial_law_congress_1992_e.pdf</w:t>
        </w:r>
      </w:hyperlink>
      <w:r w:rsidRPr="007C1481">
        <w:rPr>
          <w:rFonts w:cstheme="minorHAnsi"/>
        </w:rPr>
        <w:t xml:space="preserve"> </w:t>
      </w:r>
    </w:p>
  </w:footnote>
  <w:footnote w:id="16">
    <w:p w14:paraId="5BD9449E" w14:textId="77777777" w:rsidR="000E11D6" w:rsidRPr="007C1481" w:rsidRDefault="000E11D6" w:rsidP="000B4B88">
      <w:pPr>
        <w:pStyle w:val="FootnoteText"/>
        <w:rPr>
          <w:rFonts w:cstheme="minorHAnsi"/>
        </w:rPr>
      </w:pPr>
      <w:r w:rsidRPr="007C1481">
        <w:rPr>
          <w:rStyle w:val="FootnoteReference"/>
          <w:rFonts w:cstheme="minorHAnsi"/>
        </w:rPr>
        <w:footnoteRef/>
      </w:r>
      <w:r w:rsidRPr="007C1481">
        <w:rPr>
          <w:rFonts w:cstheme="minorHAnsi"/>
        </w:rPr>
        <w:t xml:space="preserve"> Irit Mevorach and Adrian Walters, ‘The Characterisation of Pre-Insolvency Proceedings in Private International Law’</w:t>
      </w:r>
      <w:r w:rsidRPr="007C1481">
        <w:rPr>
          <w:rFonts w:cstheme="minorHAnsi"/>
          <w:i/>
          <w:iCs/>
        </w:rPr>
        <w:t xml:space="preserve"> (</w:t>
      </w:r>
      <w:r w:rsidRPr="007C1481">
        <w:rPr>
          <w:rFonts w:cstheme="minorHAnsi"/>
        </w:rPr>
        <w:t xml:space="preserve">2019) </w:t>
      </w:r>
      <w:r w:rsidRPr="007C1481">
        <w:rPr>
          <w:rFonts w:cstheme="minorHAnsi"/>
          <w:i/>
          <w:iCs/>
          <w:shd w:val="clear" w:color="auto" w:fill="FFFFFF"/>
        </w:rPr>
        <w:t xml:space="preserve">European Business Organization Law Review </w:t>
      </w:r>
      <w:r w:rsidRPr="007C1481">
        <w:rPr>
          <w:rFonts w:cstheme="minorHAnsi"/>
          <w:shd w:val="clear" w:color="auto" w:fill="FFFFFF"/>
        </w:rPr>
        <w:t xml:space="preserve">(forthcoming) </w:t>
      </w:r>
    </w:p>
  </w:footnote>
  <w:footnote w:id="17">
    <w:p w14:paraId="5E76E8B2" w14:textId="512E9B0E" w:rsidR="000E11D6" w:rsidRPr="007C1481" w:rsidRDefault="000E11D6">
      <w:pPr>
        <w:pStyle w:val="FootnoteText"/>
        <w:rPr>
          <w:rFonts w:cstheme="minorHAnsi"/>
        </w:rPr>
      </w:pPr>
      <w:r w:rsidRPr="007C1481">
        <w:rPr>
          <w:rStyle w:val="FootnoteReference"/>
          <w:rFonts w:cstheme="minorHAnsi"/>
        </w:rPr>
        <w:footnoteRef/>
      </w:r>
      <w:r w:rsidRPr="007C1481">
        <w:rPr>
          <w:rFonts w:cstheme="minorHAnsi"/>
        </w:rPr>
        <w:t xml:space="preserve"> </w:t>
      </w:r>
      <w:hyperlink r:id="rId6" w:history="1">
        <w:r w:rsidRPr="007C1481">
          <w:rPr>
            <w:rStyle w:val="Hyperlink"/>
            <w:rFonts w:cstheme="minorHAnsi"/>
            <w:color w:val="auto"/>
          </w:rPr>
          <w:t>https://undocs.org/en/A/CN.9/378/Add.4</w:t>
        </w:r>
      </w:hyperlink>
      <w:r w:rsidRPr="007C1481">
        <w:rPr>
          <w:rFonts w:cstheme="minorHAnsi"/>
        </w:rPr>
        <w:t xml:space="preserve"> </w:t>
      </w:r>
    </w:p>
  </w:footnote>
  <w:footnote w:id="18">
    <w:p w14:paraId="6FEA15E3" w14:textId="321CA40C" w:rsidR="000E11D6" w:rsidRPr="007C1481" w:rsidRDefault="000E11D6">
      <w:pPr>
        <w:pStyle w:val="FootnoteText"/>
        <w:rPr>
          <w:rFonts w:cstheme="minorHAnsi"/>
        </w:rPr>
      </w:pPr>
      <w:r w:rsidRPr="007C1481">
        <w:rPr>
          <w:rStyle w:val="FootnoteReference"/>
          <w:rFonts w:cstheme="minorHAnsi"/>
        </w:rPr>
        <w:footnoteRef/>
      </w:r>
      <w:r w:rsidRPr="007C1481">
        <w:rPr>
          <w:rFonts w:cstheme="minorHAnsi"/>
        </w:rPr>
        <w:t xml:space="preserve"> See (1994) </w:t>
      </w:r>
      <w:r w:rsidRPr="007C1481">
        <w:rPr>
          <w:rFonts w:cstheme="minorHAnsi"/>
          <w:i/>
          <w:iCs/>
        </w:rPr>
        <w:t xml:space="preserve">International insolvency Review </w:t>
      </w:r>
      <w:r w:rsidRPr="007C1481">
        <w:rPr>
          <w:rFonts w:cstheme="minorHAnsi"/>
        </w:rPr>
        <w:t xml:space="preserve">special Issue. </w:t>
      </w:r>
    </w:p>
  </w:footnote>
  <w:footnote w:id="19">
    <w:p w14:paraId="70B587BA" w14:textId="77777777" w:rsidR="000E11D6" w:rsidRPr="007C1481" w:rsidRDefault="000E11D6" w:rsidP="00945BEF">
      <w:pPr>
        <w:pStyle w:val="FootnoteText"/>
        <w:rPr>
          <w:rFonts w:cstheme="minorHAnsi"/>
        </w:rPr>
      </w:pPr>
      <w:r w:rsidRPr="007C1481">
        <w:rPr>
          <w:rStyle w:val="FootnoteReference"/>
          <w:rFonts w:cstheme="minorHAnsi"/>
        </w:rPr>
        <w:footnoteRef/>
      </w:r>
      <w:r w:rsidRPr="007C1481">
        <w:rPr>
          <w:rFonts w:cstheme="minorHAnsi"/>
        </w:rPr>
        <w:t xml:space="preserve"> Ron Harmer, “What has been Done and What is Proposed” (1994) 4 </w:t>
      </w:r>
      <w:r w:rsidRPr="007C1481">
        <w:rPr>
          <w:rFonts w:cstheme="minorHAnsi"/>
          <w:i/>
          <w:iCs/>
        </w:rPr>
        <w:t xml:space="preserve">International insolvency Review </w:t>
      </w:r>
      <w:r w:rsidRPr="007C1481">
        <w:rPr>
          <w:rFonts w:cstheme="minorHAnsi"/>
        </w:rPr>
        <w:t xml:space="preserve">36 at 38ff referred to the s 29 </w:t>
      </w:r>
      <w:r w:rsidRPr="007C1481">
        <w:rPr>
          <w:rFonts w:cstheme="minorHAnsi"/>
          <w:i/>
          <w:iCs/>
        </w:rPr>
        <w:t>Bankruptcy Act 1966</w:t>
      </w:r>
      <w:r w:rsidRPr="007C1481">
        <w:rPr>
          <w:rFonts w:cstheme="minorHAnsi"/>
        </w:rPr>
        <w:t xml:space="preserve"> (</w:t>
      </w:r>
      <w:proofErr w:type="spellStart"/>
      <w:r w:rsidRPr="007C1481">
        <w:rPr>
          <w:rFonts w:cstheme="minorHAnsi"/>
        </w:rPr>
        <w:t>Cth</w:t>
      </w:r>
      <w:proofErr w:type="spellEnd"/>
      <w:r w:rsidRPr="007C1481">
        <w:rPr>
          <w:rFonts w:cstheme="minorHAnsi"/>
        </w:rPr>
        <w:t>) provisions on requests for judicial assistance.</w:t>
      </w:r>
    </w:p>
  </w:footnote>
  <w:footnote w:id="20">
    <w:p w14:paraId="1FE7A3D7" w14:textId="77777777" w:rsidR="000E11D6" w:rsidRPr="007C1481" w:rsidRDefault="000E11D6" w:rsidP="00255B5D">
      <w:pPr>
        <w:pStyle w:val="FootnoteText"/>
        <w:rPr>
          <w:rFonts w:cstheme="minorHAnsi"/>
        </w:rPr>
      </w:pPr>
      <w:r w:rsidRPr="007C1481">
        <w:rPr>
          <w:rStyle w:val="FootnoteReference"/>
          <w:rFonts w:cstheme="minorHAnsi"/>
        </w:rPr>
        <w:footnoteRef/>
      </w:r>
      <w:r w:rsidRPr="007C1481">
        <w:rPr>
          <w:rFonts w:cstheme="minorHAnsi"/>
        </w:rPr>
        <w:t xml:space="preserve"> “</w:t>
      </w:r>
      <w:r w:rsidRPr="007C1481">
        <w:rPr>
          <w:rFonts w:cstheme="minorHAnsi"/>
          <w:shd w:val="clear" w:color="auto" w:fill="FFFFFF"/>
        </w:rPr>
        <w:t xml:space="preserve">The purpose of the Judicial Colloquium was to obtain for the Commission, as it embarked on work on cross-border insolvency, the views of judges and of Government officials concerned with insolvency legislation, on the specific issue of judicial cooperation in cross-border insolvency cases and the related topics of access and recognition.” </w:t>
      </w:r>
      <w:hyperlink r:id="rId7" w:history="1">
        <w:r w:rsidRPr="007C1481">
          <w:rPr>
            <w:rStyle w:val="Hyperlink"/>
            <w:rFonts w:cstheme="minorHAnsi"/>
            <w:color w:val="auto"/>
          </w:rPr>
          <w:t>https://undocs.org/en/A/CN.9/419</w:t>
        </w:r>
      </w:hyperlink>
      <w:r w:rsidRPr="007C1481">
        <w:rPr>
          <w:rFonts w:cstheme="minorHAnsi"/>
        </w:rPr>
        <w:t xml:space="preserve"> </w:t>
      </w:r>
    </w:p>
  </w:footnote>
  <w:footnote w:id="21">
    <w:p w14:paraId="14332E41" w14:textId="35374EAF" w:rsidR="000E11D6" w:rsidRPr="00890FC8" w:rsidRDefault="000E11D6">
      <w:pPr>
        <w:pStyle w:val="FootnoteText"/>
        <w:rPr>
          <w:rFonts w:cstheme="minorHAnsi"/>
        </w:rPr>
      </w:pPr>
      <w:r w:rsidRPr="00890FC8">
        <w:rPr>
          <w:rStyle w:val="FootnoteReference"/>
          <w:rFonts w:cstheme="minorHAnsi"/>
        </w:rPr>
        <w:footnoteRef/>
      </w:r>
      <w:r w:rsidRPr="00890FC8">
        <w:rPr>
          <w:rFonts w:cstheme="minorHAnsi"/>
          <w:i/>
          <w:iCs/>
        </w:rPr>
        <w:t xml:space="preserve"> </w:t>
      </w:r>
      <w:r w:rsidRPr="00890FC8">
        <w:rPr>
          <w:rFonts w:cstheme="minorHAnsi"/>
          <w:shd w:val="clear" w:color="auto" w:fill="FFFFFF"/>
        </w:rPr>
        <w:t xml:space="preserve">Beginning in 2017 in Sydney, various members have contributed to judging the </w:t>
      </w:r>
      <w:r w:rsidRPr="00890FC8">
        <w:rPr>
          <w:rFonts w:cstheme="minorHAnsi"/>
        </w:rPr>
        <w:t>Ian Fletcher International Insolvency Law Moot</w:t>
      </w:r>
      <w:r w:rsidR="00890FC8">
        <w:rPr>
          <w:rFonts w:cstheme="minorHAnsi"/>
        </w:rPr>
        <w:t>,</w:t>
      </w:r>
      <w:r w:rsidRPr="00890FC8">
        <w:rPr>
          <w:rFonts w:cstheme="minorHAnsi"/>
        </w:rPr>
        <w:t xml:space="preserve"> established by the founding sponsors: INSOL; International Insolvency Institute; and QUT Faculty of Law</w:t>
      </w:r>
      <w:r w:rsidR="00890FC8">
        <w:rPr>
          <w:rFonts w:cstheme="minorHAnsi"/>
        </w:rPr>
        <w:t xml:space="preserve">, that has been held immediately prior to the </w:t>
      </w:r>
      <w:r w:rsidR="00EA1DB3">
        <w:rPr>
          <w:rFonts w:cstheme="minorHAnsi"/>
        </w:rPr>
        <w:t>2017 and 2019 Colloquium.</w:t>
      </w:r>
      <w:r w:rsidRPr="00890FC8">
        <w:rPr>
          <w:rFonts w:cstheme="minorHAnsi"/>
        </w:rPr>
        <w:t>.</w:t>
      </w:r>
    </w:p>
  </w:footnote>
  <w:footnote w:id="22">
    <w:p w14:paraId="0169E801" w14:textId="26CA1729" w:rsidR="000E11D6" w:rsidRPr="007C1481" w:rsidRDefault="000E11D6">
      <w:pPr>
        <w:pStyle w:val="FootnoteText"/>
        <w:rPr>
          <w:rFonts w:cstheme="minorHAnsi"/>
        </w:rPr>
      </w:pPr>
      <w:r w:rsidRPr="007C1481">
        <w:rPr>
          <w:rStyle w:val="FootnoteReference"/>
          <w:rFonts w:cstheme="minorHAnsi"/>
        </w:rPr>
        <w:footnoteRef/>
      </w:r>
      <w:r w:rsidRPr="007C1481">
        <w:rPr>
          <w:rFonts w:cstheme="minorHAnsi"/>
        </w:rPr>
        <w:t xml:space="preserve"> </w:t>
      </w:r>
      <w:hyperlink r:id="rId8" w:history="1">
        <w:r w:rsidRPr="007C1481">
          <w:rPr>
            <w:rStyle w:val="Hyperlink"/>
            <w:rFonts w:cstheme="minorHAnsi"/>
            <w:color w:val="auto"/>
          </w:rPr>
          <w:t>https://www.uncitral.org/pdf/english/travaux/insolvency/acn9-wg5-wp42-e.pdf</w:t>
        </w:r>
      </w:hyperlink>
      <w:r w:rsidRPr="007C1481">
        <w:rPr>
          <w:rFonts w:cstheme="minorHAnsi"/>
        </w:rPr>
        <w:t xml:space="preserve"> </w:t>
      </w:r>
    </w:p>
  </w:footnote>
  <w:footnote w:id="23">
    <w:p w14:paraId="21F09A06" w14:textId="77777777" w:rsidR="000E11D6" w:rsidRPr="007C1481" w:rsidRDefault="000E11D6" w:rsidP="008C58F8">
      <w:pPr>
        <w:pStyle w:val="FootnoteText"/>
        <w:rPr>
          <w:rFonts w:cstheme="minorHAnsi"/>
        </w:rPr>
      </w:pPr>
      <w:r w:rsidRPr="007C1481">
        <w:rPr>
          <w:rStyle w:val="FootnoteReference"/>
          <w:rFonts w:cstheme="minorHAnsi"/>
        </w:rPr>
        <w:footnoteRef/>
      </w:r>
      <w:r w:rsidRPr="007C1481">
        <w:rPr>
          <w:rFonts w:cstheme="minorHAnsi"/>
        </w:rPr>
        <w:t xml:space="preserve"> Paul Omar 2002, ‘The UNCITRAL Insolvency Initiative: A Five Year Review’, p2 </w:t>
      </w:r>
    </w:p>
  </w:footnote>
  <w:footnote w:id="24">
    <w:p w14:paraId="09BB08A5" w14:textId="7709F5E9" w:rsidR="000E11D6" w:rsidRPr="007C1481" w:rsidRDefault="000E11D6">
      <w:pPr>
        <w:pStyle w:val="FootnoteText"/>
        <w:rPr>
          <w:rFonts w:cstheme="minorHAnsi"/>
        </w:rPr>
      </w:pPr>
      <w:r w:rsidRPr="007C1481">
        <w:rPr>
          <w:rStyle w:val="FootnoteReference"/>
          <w:rFonts w:cstheme="minorHAnsi"/>
        </w:rPr>
        <w:footnoteRef/>
      </w:r>
      <w:r w:rsidRPr="007C1481">
        <w:rPr>
          <w:rFonts w:cstheme="minorHAnsi"/>
        </w:rPr>
        <w:t xml:space="preserve"> </w:t>
      </w:r>
      <w:r w:rsidRPr="007C1481">
        <w:rPr>
          <w:rFonts w:cstheme="minorHAnsi"/>
          <w:shd w:val="clear" w:color="auto" w:fill="FFFFFF"/>
        </w:rPr>
        <w:t xml:space="preserve">It has been acknowledged as one of the most active WGs. </w:t>
      </w:r>
      <w:r w:rsidRPr="007C1481">
        <w:rPr>
          <w:rFonts w:cstheme="minorHAnsi"/>
        </w:rPr>
        <w:t xml:space="preserve">Terence C Halliday, Josh </w:t>
      </w:r>
      <w:proofErr w:type="spellStart"/>
      <w:r w:rsidRPr="007C1481">
        <w:rPr>
          <w:rFonts w:cstheme="minorHAnsi"/>
        </w:rPr>
        <w:t>Pacewicz</w:t>
      </w:r>
      <w:proofErr w:type="spellEnd"/>
      <w:r w:rsidRPr="007C1481">
        <w:rPr>
          <w:rFonts w:cstheme="minorHAnsi"/>
        </w:rPr>
        <w:t>, Susan Block-</w:t>
      </w:r>
      <w:proofErr w:type="spellStart"/>
      <w:r w:rsidRPr="007C1481">
        <w:rPr>
          <w:rFonts w:cstheme="minorHAnsi"/>
        </w:rPr>
        <w:t>Lieb</w:t>
      </w:r>
      <w:proofErr w:type="spellEnd"/>
      <w:r w:rsidRPr="007C1481">
        <w:rPr>
          <w:rFonts w:cstheme="minorHAnsi"/>
        </w:rPr>
        <w:t>, “</w:t>
      </w:r>
      <w:r w:rsidRPr="007C1481">
        <w:rPr>
          <w:rFonts w:cstheme="minorHAnsi"/>
          <w:lang w:val="en-US"/>
        </w:rPr>
        <w:t xml:space="preserve">Who governs? Delegations and delegates in global trade lawmaking” (2013) 7 </w:t>
      </w:r>
      <w:r w:rsidRPr="007C1481">
        <w:rPr>
          <w:rFonts w:cstheme="minorHAnsi"/>
          <w:i/>
          <w:iCs/>
          <w:lang w:val="en-US"/>
        </w:rPr>
        <w:t>Regulation &amp; Governance</w:t>
      </w:r>
      <w:r w:rsidRPr="007C1481">
        <w:rPr>
          <w:rFonts w:cstheme="minorHAnsi"/>
          <w:lang w:val="en-US"/>
        </w:rPr>
        <w:t xml:space="preserve"> 279 at 283. This article is an intensive case study of the WGV drafting of the first two parts of the Legislative Guide on Insolvency. </w:t>
      </w:r>
    </w:p>
  </w:footnote>
  <w:footnote w:id="25">
    <w:p w14:paraId="2D8D35D4" w14:textId="14F37562" w:rsidR="000E11D6" w:rsidRPr="007C1481" w:rsidRDefault="000E11D6" w:rsidP="004525EC">
      <w:pPr>
        <w:pStyle w:val="FootnoteText"/>
        <w:rPr>
          <w:rFonts w:cstheme="minorHAnsi"/>
        </w:rPr>
      </w:pPr>
      <w:r w:rsidRPr="007C1481">
        <w:rPr>
          <w:rStyle w:val="FootnoteReference"/>
          <w:rFonts w:cstheme="minorHAnsi"/>
        </w:rPr>
        <w:footnoteRef/>
      </w:r>
      <w:r w:rsidRPr="007C1481">
        <w:rPr>
          <w:rFonts w:cstheme="minorHAnsi"/>
        </w:rPr>
        <w:t xml:space="preserve"> A private conversation in 2006 between the author </w:t>
      </w:r>
      <w:r w:rsidR="003C6645">
        <w:rPr>
          <w:rFonts w:cstheme="minorHAnsi"/>
        </w:rPr>
        <w:t>and</w:t>
      </w:r>
      <w:r w:rsidRPr="007C1481">
        <w:rPr>
          <w:rFonts w:cstheme="minorHAnsi"/>
        </w:rPr>
        <w:t xml:space="preserve"> the late Ron Harmer. </w:t>
      </w:r>
    </w:p>
  </w:footnote>
  <w:footnote w:id="26">
    <w:p w14:paraId="0E2D26A7" w14:textId="77777777" w:rsidR="000E11D6" w:rsidRPr="007C1481" w:rsidRDefault="000E11D6" w:rsidP="00CA414B">
      <w:pPr>
        <w:pStyle w:val="FootnoteText"/>
        <w:jc w:val="both"/>
        <w:rPr>
          <w:rFonts w:cstheme="minorHAnsi"/>
        </w:rPr>
      </w:pPr>
      <w:r w:rsidRPr="007C1481">
        <w:rPr>
          <w:rStyle w:val="FootnoteReference"/>
          <w:rFonts w:cstheme="minorHAnsi"/>
        </w:rPr>
        <w:footnoteRef/>
      </w:r>
      <w:r w:rsidRPr="007C1481">
        <w:rPr>
          <w:rFonts w:cstheme="minorHAnsi"/>
        </w:rPr>
        <w:t xml:space="preserve"> The Model Law is published in Official Records of the General Assembly, Fifty-second Session, Supplement No. 17 (A/52/17, annex I) (UNCITRAL Yearbook, vol. XXVIII: 1997, part three). The discussion at the thirtieth session concerning the Model Law is reproduced in doc. A/52/17, paras. 12-225 (UNCITRAL Yearbook, vol. XXVIII: 1997, part one, A).  </w:t>
      </w:r>
    </w:p>
  </w:footnote>
  <w:footnote w:id="27">
    <w:p w14:paraId="75448C1E" w14:textId="77777777" w:rsidR="000E11D6" w:rsidRPr="007C1481" w:rsidRDefault="000E11D6" w:rsidP="003F4A81">
      <w:pPr>
        <w:autoSpaceDE w:val="0"/>
        <w:autoSpaceDN w:val="0"/>
        <w:adjustRightInd w:val="0"/>
        <w:spacing w:after="0" w:line="240" w:lineRule="auto"/>
        <w:rPr>
          <w:rFonts w:cstheme="minorHAnsi"/>
          <w:sz w:val="20"/>
          <w:szCs w:val="20"/>
        </w:rPr>
      </w:pPr>
      <w:r w:rsidRPr="007C1481">
        <w:rPr>
          <w:rStyle w:val="FootnoteReference"/>
          <w:rFonts w:cstheme="minorHAnsi"/>
          <w:sz w:val="20"/>
          <w:szCs w:val="20"/>
        </w:rPr>
        <w:footnoteRef/>
      </w:r>
      <w:r w:rsidRPr="007C1481">
        <w:rPr>
          <w:rFonts w:cstheme="minorHAnsi"/>
          <w:sz w:val="20"/>
          <w:szCs w:val="20"/>
        </w:rPr>
        <w:t xml:space="preserve"> </w:t>
      </w:r>
      <w:hyperlink r:id="rId9" w:history="1">
        <w:r w:rsidRPr="007C1481">
          <w:rPr>
            <w:rStyle w:val="Hyperlink"/>
            <w:rFonts w:cstheme="minorHAnsi"/>
            <w:color w:val="auto"/>
            <w:sz w:val="20"/>
            <w:szCs w:val="20"/>
          </w:rPr>
          <w:t>https://undocs.org/en/A/CN.9/462/Add.1</w:t>
        </w:r>
      </w:hyperlink>
      <w:r w:rsidRPr="007C1481">
        <w:rPr>
          <w:rFonts w:cstheme="minorHAnsi"/>
          <w:sz w:val="20"/>
          <w:szCs w:val="20"/>
        </w:rPr>
        <w:t xml:space="preserve"> See </w:t>
      </w:r>
      <w:r w:rsidRPr="007C1481">
        <w:rPr>
          <w:rFonts w:cstheme="minorHAnsi"/>
          <w:sz w:val="20"/>
          <w:szCs w:val="20"/>
          <w:shd w:val="clear" w:color="auto" w:fill="FFFFFF"/>
        </w:rPr>
        <w:t xml:space="preserve">Conan </w:t>
      </w:r>
      <w:proofErr w:type="spellStart"/>
      <w:r w:rsidRPr="007C1481">
        <w:rPr>
          <w:rFonts w:cstheme="minorHAnsi"/>
          <w:sz w:val="20"/>
          <w:szCs w:val="20"/>
          <w:shd w:val="clear" w:color="auto" w:fill="FFFFFF"/>
        </w:rPr>
        <w:t>Brownbill</w:t>
      </w:r>
      <w:proofErr w:type="spellEnd"/>
      <w:r w:rsidRPr="007C1481">
        <w:rPr>
          <w:rFonts w:cstheme="minorHAnsi"/>
          <w:sz w:val="20"/>
          <w:szCs w:val="20"/>
          <w:shd w:val="clear" w:color="auto" w:fill="FFFFFF"/>
        </w:rPr>
        <w:t xml:space="preserve">, Matthew Crooke and Andrew Sellars, ‘Improving global frameworks for corporate regulation: an Australian perspective’ in The Treasury, </w:t>
      </w:r>
      <w:r w:rsidRPr="007C1481">
        <w:rPr>
          <w:rFonts w:cstheme="minorHAnsi"/>
          <w:i/>
          <w:iCs/>
          <w:sz w:val="20"/>
          <w:szCs w:val="20"/>
          <w:shd w:val="clear" w:color="auto" w:fill="FFFFFF"/>
        </w:rPr>
        <w:t xml:space="preserve">Economic Roundup Spring 2004 </w:t>
      </w:r>
      <w:hyperlink r:id="rId10" w:history="1">
        <w:r w:rsidRPr="007C1481">
          <w:rPr>
            <w:rStyle w:val="Hyperlink"/>
            <w:rFonts w:cstheme="minorHAnsi"/>
            <w:color w:val="auto"/>
            <w:sz w:val="20"/>
            <w:szCs w:val="20"/>
          </w:rPr>
          <w:t>http://archive.treasury.gov.au/documents/930/HTML/docshell.asp?URL=03_Global.asp</w:t>
        </w:r>
      </w:hyperlink>
      <w:r w:rsidRPr="007C1481">
        <w:rPr>
          <w:rFonts w:cstheme="minorHAnsi"/>
          <w:sz w:val="20"/>
          <w:szCs w:val="20"/>
        </w:rPr>
        <w:t xml:space="preserve"> . It refers to a task force, commissioned by the Prime Minister in October 1998 following the Asian financial crisis, to advise on ways that Australia could assist international financial reform. The report recommended that Australia propose, and actively encourage, an international guide on insolvency law by the United Nations Commission on International Trade Law (UNCITRAL). The report suggested that “given its recent experience preparing a model law on cross-border insolvency and its broad constituency and expert contacts, UNCITRAL would be a suitable body to prepare a model legislative framework for national insolvency laws for use in a range of different legal systems and commercial environments.” Australian involvement in international insolvency projects was also considered by the Parliamentary Joint Committee on Corporations and Financial Services 2004 report on </w:t>
      </w:r>
      <w:r w:rsidRPr="007C1481">
        <w:rPr>
          <w:rFonts w:cstheme="minorHAnsi"/>
          <w:sz w:val="20"/>
          <w:szCs w:val="20"/>
          <w:shd w:val="clear" w:color="auto" w:fill="FFFFFF"/>
        </w:rPr>
        <w:t>‘Corporate Insolvency Laws: A Stocktake’</w:t>
      </w:r>
      <w:r w:rsidRPr="007C1481">
        <w:rPr>
          <w:rFonts w:cstheme="minorHAnsi"/>
          <w:sz w:val="20"/>
          <w:szCs w:val="20"/>
        </w:rPr>
        <w:t>. It considered at [13.12] that “</w:t>
      </w:r>
      <w:r w:rsidRPr="007C1481">
        <w:rPr>
          <w:rFonts w:cstheme="minorHAnsi"/>
          <w:sz w:val="20"/>
          <w:szCs w:val="20"/>
          <w:lang w:val="en-US"/>
        </w:rPr>
        <w:t>well-functioning insolvency laws are a necessary component of a country’s financial architecture and a vital complement to international trade and investment. Australia’s participation in international efforts to build credible and effective insolvency systems has the potential to benefit Australian businesses trading overseas and give reassurance to Australians and Australian institutions whose funds are at risk with cross-border operations.</w:t>
      </w:r>
      <w:r w:rsidRPr="007C1481">
        <w:rPr>
          <w:rFonts w:cstheme="minorHAnsi"/>
          <w:sz w:val="20"/>
          <w:szCs w:val="20"/>
        </w:rPr>
        <w:t xml:space="preserve">” </w:t>
      </w:r>
    </w:p>
  </w:footnote>
  <w:footnote w:id="28">
    <w:p w14:paraId="61C05FAB" w14:textId="77777777" w:rsidR="000E11D6" w:rsidRPr="007C1481" w:rsidRDefault="000E11D6" w:rsidP="003F4A81">
      <w:pPr>
        <w:pStyle w:val="FootnoteText"/>
        <w:rPr>
          <w:rFonts w:cstheme="minorHAnsi"/>
        </w:rPr>
      </w:pPr>
      <w:r w:rsidRPr="007C1481">
        <w:rPr>
          <w:rStyle w:val="FootnoteReference"/>
          <w:rFonts w:cstheme="minorHAnsi"/>
        </w:rPr>
        <w:footnoteRef/>
      </w:r>
      <w:r w:rsidRPr="007C1481">
        <w:rPr>
          <w:rFonts w:cstheme="minorHAnsi"/>
        </w:rPr>
        <w:t xml:space="preserve"> </w:t>
      </w:r>
      <w:hyperlink r:id="rId11" w:history="1">
        <w:r w:rsidRPr="007C1481">
          <w:rPr>
            <w:rStyle w:val="Hyperlink"/>
            <w:rFonts w:cstheme="minorHAnsi"/>
            <w:color w:val="auto"/>
          </w:rPr>
          <w:t>https://undocs.org/en/A/CN.9/504</w:t>
        </w:r>
      </w:hyperlink>
      <w:r w:rsidRPr="007C1481">
        <w:rPr>
          <w:rFonts w:cstheme="minorHAnsi"/>
        </w:rPr>
        <w:t xml:space="preserve"> </w:t>
      </w:r>
    </w:p>
  </w:footnote>
  <w:footnote w:id="29">
    <w:p w14:paraId="2C231E3B" w14:textId="16CD75C6" w:rsidR="000E11D6" w:rsidRPr="007C1481" w:rsidRDefault="000E11D6" w:rsidP="003F4A81">
      <w:pPr>
        <w:pStyle w:val="FootnoteText"/>
        <w:rPr>
          <w:rFonts w:cstheme="minorHAnsi"/>
        </w:rPr>
      </w:pPr>
      <w:r w:rsidRPr="007C1481">
        <w:rPr>
          <w:rStyle w:val="FootnoteReference"/>
          <w:rFonts w:cstheme="minorHAnsi"/>
        </w:rPr>
        <w:footnoteRef/>
      </w:r>
      <w:r w:rsidRPr="007C1481">
        <w:rPr>
          <w:rFonts w:cstheme="minorHAnsi"/>
        </w:rPr>
        <w:t xml:space="preserve"> Terence C Halliday, Josh </w:t>
      </w:r>
      <w:proofErr w:type="spellStart"/>
      <w:r w:rsidRPr="007C1481">
        <w:rPr>
          <w:rFonts w:cstheme="minorHAnsi"/>
        </w:rPr>
        <w:t>Pacewicz</w:t>
      </w:r>
      <w:proofErr w:type="spellEnd"/>
      <w:r w:rsidRPr="007C1481">
        <w:rPr>
          <w:rFonts w:cstheme="minorHAnsi"/>
        </w:rPr>
        <w:t>, Susan Block-</w:t>
      </w:r>
      <w:proofErr w:type="spellStart"/>
      <w:r w:rsidRPr="007C1481">
        <w:rPr>
          <w:rFonts w:cstheme="minorHAnsi"/>
        </w:rPr>
        <w:t>Lieb</w:t>
      </w:r>
      <w:proofErr w:type="spellEnd"/>
      <w:r w:rsidRPr="007C1481">
        <w:rPr>
          <w:rFonts w:cstheme="minorHAnsi"/>
        </w:rPr>
        <w:t>, “</w:t>
      </w:r>
      <w:r w:rsidRPr="007C1481">
        <w:rPr>
          <w:rFonts w:cstheme="minorHAnsi"/>
          <w:lang w:val="en-US"/>
        </w:rPr>
        <w:t xml:space="preserve">Who governs? Delegations and delegates in global trade lawmaking” (2013) 7 </w:t>
      </w:r>
      <w:r w:rsidRPr="007C1481">
        <w:rPr>
          <w:rFonts w:cstheme="minorHAnsi"/>
          <w:i/>
          <w:iCs/>
          <w:lang w:val="en-US"/>
        </w:rPr>
        <w:t>Regulation &amp; Governance</w:t>
      </w:r>
      <w:r w:rsidRPr="007C1481">
        <w:rPr>
          <w:rFonts w:cstheme="minorHAnsi"/>
          <w:lang w:val="en-US"/>
        </w:rPr>
        <w:t xml:space="preserve"> 279 at 285.</w:t>
      </w:r>
      <w:r w:rsidRPr="007C1481">
        <w:rPr>
          <w:rStyle w:val="FootnoteReference"/>
          <w:rFonts w:cstheme="minorHAnsi"/>
        </w:rPr>
        <w:t xml:space="preserve"> </w:t>
      </w:r>
      <w:r w:rsidRPr="007C1481">
        <w:rPr>
          <w:rFonts w:cstheme="minorHAnsi"/>
        </w:rPr>
        <w:t>For background, see Susan Block-</w:t>
      </w:r>
      <w:proofErr w:type="spellStart"/>
      <w:r w:rsidRPr="007C1481">
        <w:rPr>
          <w:rFonts w:cstheme="minorHAnsi"/>
        </w:rPr>
        <w:t>Lieb</w:t>
      </w:r>
      <w:proofErr w:type="spellEnd"/>
      <w:r w:rsidRPr="007C1481">
        <w:rPr>
          <w:rFonts w:cstheme="minorHAnsi"/>
        </w:rPr>
        <w:t xml:space="preserve"> and Terence Halliday, Harmonization and Modernization in UNCITRAL's Legislative Guide on Insolvency Law (2007) 42 </w:t>
      </w:r>
      <w:r w:rsidRPr="007C1481">
        <w:rPr>
          <w:rFonts w:cstheme="minorHAnsi"/>
          <w:i/>
          <w:iCs/>
        </w:rPr>
        <w:t xml:space="preserve">Texas International law Journal </w:t>
      </w:r>
      <w:r w:rsidRPr="007C1481">
        <w:rPr>
          <w:rFonts w:cstheme="minorHAnsi"/>
        </w:rPr>
        <w:t>475</w:t>
      </w:r>
    </w:p>
  </w:footnote>
  <w:footnote w:id="30">
    <w:p w14:paraId="5A4B819E" w14:textId="77777777" w:rsidR="000E11D6" w:rsidRPr="007C1481" w:rsidRDefault="000E11D6" w:rsidP="003F4A81">
      <w:pPr>
        <w:pStyle w:val="FootnoteText"/>
        <w:rPr>
          <w:rFonts w:cstheme="minorHAnsi"/>
        </w:rPr>
      </w:pPr>
      <w:r w:rsidRPr="007C1481">
        <w:rPr>
          <w:rStyle w:val="FootnoteReference"/>
          <w:rFonts w:cstheme="minorHAnsi"/>
        </w:rPr>
        <w:footnoteRef/>
      </w:r>
      <w:r w:rsidRPr="007C1481">
        <w:rPr>
          <w:rFonts w:cstheme="minorHAnsi"/>
        </w:rPr>
        <w:t xml:space="preserve"> The other three being Thailand (whose delegate chaired the WG), INSOL and the IBA.</w:t>
      </w:r>
    </w:p>
  </w:footnote>
  <w:footnote w:id="31">
    <w:p w14:paraId="1DB86F7B" w14:textId="58354F18" w:rsidR="000E11D6" w:rsidRPr="007C1481" w:rsidRDefault="000E11D6" w:rsidP="003F4A81">
      <w:pPr>
        <w:pStyle w:val="FootnoteText"/>
        <w:rPr>
          <w:rFonts w:cstheme="minorHAnsi"/>
        </w:rPr>
      </w:pPr>
      <w:r w:rsidRPr="007C1481">
        <w:rPr>
          <w:rStyle w:val="FootnoteReference"/>
          <w:rFonts w:cstheme="minorHAnsi"/>
        </w:rPr>
        <w:footnoteRef/>
      </w:r>
      <w:r w:rsidRPr="007C1481">
        <w:rPr>
          <w:rFonts w:cstheme="minorHAnsi"/>
        </w:rPr>
        <w:t xml:space="preserve"> Andrew Sellars, then an officer from Australian Treasury and currently General Counsel at the Australian Financial Security Authority.  </w:t>
      </w:r>
    </w:p>
  </w:footnote>
  <w:footnote w:id="32">
    <w:p w14:paraId="4799766F" w14:textId="1217F549" w:rsidR="000E11D6" w:rsidRPr="007C1481" w:rsidRDefault="000E11D6" w:rsidP="003F4A81">
      <w:pPr>
        <w:autoSpaceDE w:val="0"/>
        <w:autoSpaceDN w:val="0"/>
        <w:adjustRightInd w:val="0"/>
        <w:spacing w:after="0" w:line="240" w:lineRule="auto"/>
        <w:rPr>
          <w:rFonts w:cstheme="minorHAnsi"/>
          <w:sz w:val="20"/>
          <w:szCs w:val="20"/>
        </w:rPr>
      </w:pPr>
      <w:r w:rsidRPr="007C1481">
        <w:rPr>
          <w:rStyle w:val="FootnoteReference"/>
          <w:rFonts w:cstheme="minorHAnsi"/>
          <w:sz w:val="20"/>
          <w:szCs w:val="20"/>
        </w:rPr>
        <w:footnoteRef/>
      </w:r>
      <w:r w:rsidRPr="007C1481">
        <w:rPr>
          <w:rFonts w:cstheme="minorHAnsi"/>
          <w:sz w:val="20"/>
          <w:szCs w:val="20"/>
        </w:rPr>
        <w:t xml:space="preserve"> Terence C Halliday, Josh </w:t>
      </w:r>
      <w:proofErr w:type="spellStart"/>
      <w:r w:rsidRPr="007C1481">
        <w:rPr>
          <w:rFonts w:cstheme="minorHAnsi"/>
          <w:sz w:val="20"/>
          <w:szCs w:val="20"/>
        </w:rPr>
        <w:t>Pacewicz</w:t>
      </w:r>
      <w:proofErr w:type="spellEnd"/>
      <w:r w:rsidRPr="007C1481">
        <w:rPr>
          <w:rFonts w:cstheme="minorHAnsi"/>
          <w:sz w:val="20"/>
          <w:szCs w:val="20"/>
        </w:rPr>
        <w:t>, Susan Block-</w:t>
      </w:r>
      <w:proofErr w:type="spellStart"/>
      <w:r w:rsidRPr="007C1481">
        <w:rPr>
          <w:rFonts w:cstheme="minorHAnsi"/>
          <w:sz w:val="20"/>
          <w:szCs w:val="20"/>
        </w:rPr>
        <w:t>Lieb</w:t>
      </w:r>
      <w:proofErr w:type="spellEnd"/>
      <w:r w:rsidRPr="007C1481">
        <w:rPr>
          <w:rFonts w:cstheme="minorHAnsi"/>
          <w:sz w:val="20"/>
          <w:szCs w:val="20"/>
        </w:rPr>
        <w:t>, “</w:t>
      </w:r>
      <w:r w:rsidRPr="007C1481">
        <w:rPr>
          <w:rFonts w:cstheme="minorHAnsi"/>
          <w:sz w:val="20"/>
          <w:szCs w:val="20"/>
          <w:lang w:val="en-US"/>
        </w:rPr>
        <w:t xml:space="preserve">Who governs? Delegations and delegates in global trade lawmaking” (2013) 7 </w:t>
      </w:r>
      <w:r w:rsidRPr="007C1481">
        <w:rPr>
          <w:rFonts w:cstheme="minorHAnsi"/>
          <w:i/>
          <w:iCs/>
          <w:sz w:val="20"/>
          <w:szCs w:val="20"/>
          <w:lang w:val="en-US"/>
        </w:rPr>
        <w:t>Regulation &amp; Governance</w:t>
      </w:r>
      <w:r w:rsidRPr="007C1481">
        <w:rPr>
          <w:rFonts w:cstheme="minorHAnsi"/>
          <w:sz w:val="20"/>
          <w:szCs w:val="20"/>
          <w:lang w:val="en-US"/>
        </w:rPr>
        <w:t xml:space="preserve"> 279 at 291: “A handful of delegations (Australia, France, Germany, IBA, III, INSOL, Japan, Thailand, World Bank, US) appeared best positioned to participate effectively because they combined: high attendance of delegations; high consistency of delegations; high density of delegations; high diversity of delegations; and high consistency of delegates.”</w:t>
      </w:r>
    </w:p>
  </w:footnote>
  <w:footnote w:id="33">
    <w:p w14:paraId="527FA845" w14:textId="114FA85A" w:rsidR="00425ED3" w:rsidRDefault="00425ED3">
      <w:pPr>
        <w:pStyle w:val="FootnoteText"/>
      </w:pPr>
      <w:r>
        <w:rPr>
          <w:rStyle w:val="FootnoteReference"/>
        </w:rPr>
        <w:footnoteRef/>
      </w:r>
      <w:r>
        <w:t xml:space="preserve"> In many </w:t>
      </w:r>
      <w:r w:rsidR="00780BA0">
        <w:t>cases</w:t>
      </w:r>
      <w:r>
        <w:t>, they have been accompanied by university student</w:t>
      </w:r>
      <w:r w:rsidR="00780BA0">
        <w:t>s.</w:t>
      </w:r>
    </w:p>
  </w:footnote>
  <w:footnote w:id="34">
    <w:p w14:paraId="1A2E3378" w14:textId="77777777" w:rsidR="000E11D6" w:rsidRPr="007C1481" w:rsidRDefault="000E11D6" w:rsidP="00FA5392">
      <w:pPr>
        <w:pStyle w:val="FootnoteText"/>
        <w:rPr>
          <w:rFonts w:cstheme="minorHAnsi"/>
        </w:rPr>
      </w:pPr>
      <w:r w:rsidRPr="007C1481">
        <w:rPr>
          <w:rStyle w:val="FootnoteReference"/>
          <w:rFonts w:cstheme="minorHAnsi"/>
        </w:rPr>
        <w:footnoteRef/>
      </w:r>
      <w:r w:rsidRPr="007C1481">
        <w:rPr>
          <w:rFonts w:cstheme="minorHAnsi"/>
        </w:rPr>
        <w:t xml:space="preserve"> </w:t>
      </w:r>
      <w:hyperlink r:id="rId12" w:history="1">
        <w:r w:rsidRPr="007C1481">
          <w:rPr>
            <w:rStyle w:val="Hyperlink"/>
            <w:rFonts w:cstheme="minorHAnsi"/>
            <w:color w:val="auto"/>
          </w:rPr>
          <w:t>https://uncitral.un.org/en/texts/insolvency/legislativeguides/insolvency_law</w:t>
        </w:r>
      </w:hyperlink>
      <w:r w:rsidRPr="007C1481">
        <w:rPr>
          <w:rFonts w:cstheme="minorHAnsi"/>
        </w:rPr>
        <w:t xml:space="preserve"> </w:t>
      </w:r>
    </w:p>
  </w:footnote>
  <w:footnote w:id="35">
    <w:p w14:paraId="34F8FD60" w14:textId="34162500" w:rsidR="000E11D6" w:rsidRPr="007C1481" w:rsidRDefault="000E11D6">
      <w:pPr>
        <w:pStyle w:val="FootnoteText"/>
        <w:rPr>
          <w:rFonts w:cstheme="minorHAnsi"/>
        </w:rPr>
      </w:pPr>
      <w:r w:rsidRPr="007C1481">
        <w:rPr>
          <w:rStyle w:val="FootnoteReference"/>
          <w:rFonts w:cstheme="minorHAnsi"/>
        </w:rPr>
        <w:footnoteRef/>
      </w:r>
      <w:r w:rsidRPr="007C1481">
        <w:rPr>
          <w:rFonts w:cstheme="minorHAnsi"/>
        </w:rPr>
        <w:t xml:space="preserve"> World Bank Principles for Effective Insolvency and Creditor-Debtor Regimes (2015) </w:t>
      </w:r>
      <w:hyperlink r:id="rId13" w:history="1">
        <w:r w:rsidRPr="007C1481">
          <w:rPr>
            <w:rStyle w:val="Hyperlink"/>
            <w:rFonts w:cstheme="minorHAnsi"/>
            <w:color w:val="auto"/>
          </w:rPr>
          <w:t>https://www.worldbank.org/en/topic/financialsector/brief/the-world-bank-principles-for-effective-insolvency-and-creditor-rights</w:t>
        </w:r>
      </w:hyperlink>
      <w:r w:rsidRPr="007C1481">
        <w:rPr>
          <w:rFonts w:cstheme="minorHAnsi"/>
        </w:rPr>
        <w:t xml:space="preserve"> </w:t>
      </w:r>
    </w:p>
  </w:footnote>
  <w:footnote w:id="36">
    <w:p w14:paraId="25DDA8FF" w14:textId="615ADC8D" w:rsidR="000E11D6" w:rsidRPr="007C1481" w:rsidRDefault="000E11D6">
      <w:pPr>
        <w:pStyle w:val="FootnoteText"/>
        <w:rPr>
          <w:rFonts w:cstheme="minorHAnsi"/>
        </w:rPr>
      </w:pPr>
      <w:r w:rsidRPr="007C1481">
        <w:rPr>
          <w:rStyle w:val="FootnoteReference"/>
          <w:rFonts w:cstheme="minorHAnsi"/>
        </w:rPr>
        <w:footnoteRef/>
      </w:r>
      <w:r w:rsidRPr="007C1481">
        <w:rPr>
          <w:rFonts w:cstheme="minorHAnsi"/>
        </w:rPr>
        <w:t xml:space="preserve"> Irit Mevorach, </w:t>
      </w:r>
      <w:r w:rsidRPr="007C1481">
        <w:rPr>
          <w:rFonts w:cstheme="minorHAnsi"/>
          <w:i/>
          <w:iCs/>
        </w:rPr>
        <w:t>The Future of Cross-Border Insolvency: Overcoming Biases and Closing Gaps</w:t>
      </w:r>
      <w:r w:rsidRPr="007C1481">
        <w:rPr>
          <w:rFonts w:cstheme="minorHAnsi"/>
        </w:rPr>
        <w:t xml:space="preserve"> (2018 Oxford University Press), p 40. </w:t>
      </w:r>
    </w:p>
  </w:footnote>
  <w:footnote w:id="37">
    <w:p w14:paraId="5AEA9655" w14:textId="77777777" w:rsidR="000E11D6" w:rsidRPr="007C1481" w:rsidRDefault="000E11D6" w:rsidP="009C3B29">
      <w:pPr>
        <w:pStyle w:val="FootnoteText"/>
        <w:jc w:val="both"/>
        <w:rPr>
          <w:rFonts w:cstheme="minorHAnsi"/>
        </w:rPr>
      </w:pPr>
      <w:r w:rsidRPr="007C1481">
        <w:rPr>
          <w:rStyle w:val="FootnoteReference"/>
          <w:rFonts w:cstheme="minorHAnsi"/>
        </w:rPr>
        <w:footnoteRef/>
      </w:r>
      <w:r w:rsidRPr="007C1481">
        <w:rPr>
          <w:rFonts w:cstheme="minorHAnsi"/>
        </w:rPr>
        <w:t xml:space="preserve"> </w:t>
      </w:r>
      <w:hyperlink r:id="rId14" w:history="1">
        <w:r w:rsidRPr="007C1481">
          <w:rPr>
            <w:rStyle w:val="Hyperlink"/>
            <w:rFonts w:cstheme="minorHAnsi"/>
            <w:color w:val="auto"/>
          </w:rPr>
          <w:t>http://www.uncitral.org/uncitral/en/uncitral_texts/insolvency/1997Model_status.html</w:t>
        </w:r>
      </w:hyperlink>
      <w:r w:rsidRPr="007C1481">
        <w:rPr>
          <w:rFonts w:cstheme="minorHAnsi"/>
        </w:rPr>
        <w:t xml:space="preserve"> (accessed 26 July 2015).</w:t>
      </w:r>
    </w:p>
  </w:footnote>
  <w:footnote w:id="38">
    <w:p w14:paraId="749620A1" w14:textId="77777777" w:rsidR="000E11D6" w:rsidRPr="007C1481" w:rsidRDefault="000E11D6" w:rsidP="009C3B29">
      <w:pPr>
        <w:pStyle w:val="FootnoteText"/>
        <w:jc w:val="both"/>
        <w:rPr>
          <w:rFonts w:cstheme="minorHAnsi"/>
        </w:rPr>
      </w:pPr>
      <w:r w:rsidRPr="007C1481">
        <w:rPr>
          <w:rStyle w:val="FootnoteReference"/>
          <w:rFonts w:cstheme="minorHAnsi"/>
        </w:rPr>
        <w:footnoteRef/>
      </w:r>
      <w:r w:rsidRPr="007C1481">
        <w:rPr>
          <w:rFonts w:cstheme="minorHAnsi"/>
        </w:rPr>
        <w:t xml:space="preserve"> </w:t>
      </w:r>
      <w:r w:rsidRPr="007C1481">
        <w:rPr>
          <w:rFonts w:cstheme="minorHAnsi"/>
          <w:i/>
        </w:rPr>
        <w:t>Cross-border Insolvency Act 2008</w:t>
      </w:r>
      <w:r w:rsidRPr="007C1481">
        <w:rPr>
          <w:rFonts w:cstheme="minorHAnsi"/>
        </w:rPr>
        <w:t xml:space="preserve"> (</w:t>
      </w:r>
      <w:proofErr w:type="spellStart"/>
      <w:r w:rsidRPr="007C1481">
        <w:rPr>
          <w:rFonts w:cstheme="minorHAnsi"/>
        </w:rPr>
        <w:t>Cth</w:t>
      </w:r>
      <w:proofErr w:type="spellEnd"/>
      <w:r w:rsidRPr="007C1481">
        <w:rPr>
          <w:rFonts w:cstheme="minorHAnsi"/>
        </w:rPr>
        <w:t xml:space="preserve">), adopting the Model Law largely unchanged. </w:t>
      </w:r>
    </w:p>
  </w:footnote>
  <w:footnote w:id="39">
    <w:p w14:paraId="3E6EB3F4" w14:textId="2E561DBB" w:rsidR="000E11D6" w:rsidRPr="007C1481" w:rsidRDefault="000E11D6" w:rsidP="009C3B29">
      <w:pPr>
        <w:pStyle w:val="FootnoteText"/>
        <w:jc w:val="both"/>
        <w:rPr>
          <w:rFonts w:cstheme="minorHAnsi"/>
        </w:rPr>
      </w:pPr>
      <w:r w:rsidRPr="007C1481">
        <w:rPr>
          <w:rStyle w:val="FootnoteReference"/>
          <w:rFonts w:cstheme="minorHAnsi"/>
        </w:rPr>
        <w:footnoteRef/>
      </w:r>
      <w:r w:rsidRPr="007C1481">
        <w:rPr>
          <w:rFonts w:cstheme="minorHAnsi"/>
        </w:rPr>
        <w:t xml:space="preserve"> </w:t>
      </w:r>
      <w:r w:rsidRPr="007C1481">
        <w:rPr>
          <w:rFonts w:cstheme="minorHAnsi"/>
          <w:i/>
          <w:iCs/>
          <w:lang w:val="en-GB"/>
        </w:rPr>
        <w:t xml:space="preserve">Bankruptcy Law; Corporate Reorganisation Law; Civil Rehabilitation Law 2000; Law on Recognition of Foreign Proceedings 2001. </w:t>
      </w:r>
      <w:r w:rsidRPr="007C1481">
        <w:rPr>
          <w:rFonts w:cstheme="minorHAnsi"/>
          <w:lang w:val="en-GB"/>
        </w:rPr>
        <w:t>(Japan)</w:t>
      </w:r>
    </w:p>
  </w:footnote>
  <w:footnote w:id="40">
    <w:p w14:paraId="37FA6E09" w14:textId="77777777" w:rsidR="000E11D6" w:rsidRPr="007C1481" w:rsidRDefault="000E11D6" w:rsidP="009C3B29">
      <w:pPr>
        <w:pStyle w:val="FootnoteText"/>
        <w:jc w:val="both"/>
        <w:rPr>
          <w:rFonts w:cstheme="minorHAnsi"/>
        </w:rPr>
      </w:pPr>
      <w:r w:rsidRPr="007C1481">
        <w:rPr>
          <w:rStyle w:val="FootnoteReference"/>
          <w:rFonts w:cstheme="minorHAnsi"/>
        </w:rPr>
        <w:footnoteRef/>
      </w:r>
      <w:r w:rsidRPr="007C1481">
        <w:rPr>
          <w:rFonts w:cstheme="minorHAnsi"/>
        </w:rPr>
        <w:t xml:space="preserve"> </w:t>
      </w:r>
      <w:r w:rsidRPr="007C1481">
        <w:rPr>
          <w:rFonts w:eastAsiaTheme="minorEastAsia" w:cstheme="minorHAnsi"/>
          <w:i/>
          <w:iCs/>
        </w:rPr>
        <w:t xml:space="preserve">Insolvency (Cross-border) Act 2006 </w:t>
      </w:r>
      <w:r w:rsidRPr="007C1481">
        <w:rPr>
          <w:rFonts w:eastAsiaTheme="minorEastAsia" w:cstheme="minorHAnsi"/>
          <w:iCs/>
        </w:rPr>
        <w:t>(NZ),</w:t>
      </w:r>
      <w:r w:rsidRPr="007C1481">
        <w:rPr>
          <w:rFonts w:cstheme="minorHAnsi"/>
        </w:rPr>
        <w:t xml:space="preserve"> adopting the Model Law largely unchanged.</w:t>
      </w:r>
    </w:p>
  </w:footnote>
  <w:footnote w:id="41">
    <w:p w14:paraId="1D5C134F" w14:textId="3F7E71C1" w:rsidR="000E11D6" w:rsidRPr="007C1481" w:rsidRDefault="000E11D6" w:rsidP="009C3B29">
      <w:pPr>
        <w:pStyle w:val="FootnoteText"/>
        <w:jc w:val="both"/>
        <w:rPr>
          <w:rFonts w:cstheme="minorHAnsi"/>
        </w:rPr>
      </w:pPr>
      <w:r w:rsidRPr="007C1481">
        <w:rPr>
          <w:rStyle w:val="FootnoteReference"/>
          <w:rFonts w:cstheme="minorHAnsi"/>
        </w:rPr>
        <w:footnoteRef/>
      </w:r>
      <w:r w:rsidRPr="007C1481">
        <w:rPr>
          <w:rFonts w:cstheme="minorHAnsi"/>
        </w:rPr>
        <w:t xml:space="preserve"> </w:t>
      </w:r>
      <w:r w:rsidRPr="007C1481">
        <w:rPr>
          <w:rFonts w:cstheme="minorHAnsi"/>
          <w:i/>
        </w:rPr>
        <w:t>Republic Act No. 10142 (</w:t>
      </w:r>
      <w:r w:rsidRPr="007C1481">
        <w:rPr>
          <w:rFonts w:cstheme="minorHAnsi"/>
          <w:bCs/>
          <w:i/>
          <w:iCs/>
        </w:rPr>
        <w:t>Financial Rehabilitation and Insolvency Act of 2010</w:t>
      </w:r>
      <w:r w:rsidRPr="007C1481">
        <w:rPr>
          <w:rFonts w:cstheme="minorHAnsi"/>
          <w:i/>
        </w:rPr>
        <w:t>)</w:t>
      </w:r>
      <w:r w:rsidRPr="007C1481">
        <w:rPr>
          <w:rFonts w:eastAsiaTheme="minorEastAsia" w:cstheme="minorHAnsi"/>
          <w:iCs/>
        </w:rPr>
        <w:t>. (The Philippines)</w:t>
      </w:r>
      <w:r w:rsidRPr="007C1481">
        <w:rPr>
          <w:rFonts w:cstheme="minorHAnsi"/>
        </w:rPr>
        <w:t xml:space="preserve">   </w:t>
      </w:r>
    </w:p>
  </w:footnote>
  <w:footnote w:id="42">
    <w:p w14:paraId="705D6E7A" w14:textId="4114BC47" w:rsidR="000E11D6" w:rsidRPr="007C1481" w:rsidRDefault="000E11D6" w:rsidP="009C3B29">
      <w:pPr>
        <w:pStyle w:val="FootnoteText"/>
        <w:jc w:val="both"/>
        <w:rPr>
          <w:rFonts w:cstheme="minorHAnsi"/>
          <w:iCs/>
        </w:rPr>
      </w:pPr>
      <w:r w:rsidRPr="007C1481">
        <w:rPr>
          <w:rStyle w:val="FootnoteReference"/>
          <w:rFonts w:cstheme="minorHAnsi"/>
        </w:rPr>
        <w:footnoteRef/>
      </w:r>
      <w:r w:rsidRPr="007C1481">
        <w:rPr>
          <w:rFonts w:cstheme="minorHAnsi"/>
        </w:rPr>
        <w:t xml:space="preserve"> </w:t>
      </w:r>
      <w:r w:rsidRPr="007C1481">
        <w:rPr>
          <w:rFonts w:eastAsiaTheme="minorEastAsia" w:cstheme="minorHAnsi"/>
          <w:i/>
        </w:rPr>
        <w:t xml:space="preserve">Debtor Rehabilitation and Bankruptcy Act 2005 </w:t>
      </w:r>
      <w:r w:rsidRPr="007C1481">
        <w:rPr>
          <w:rFonts w:eastAsiaTheme="minorEastAsia" w:cstheme="minorHAnsi"/>
          <w:iCs/>
        </w:rPr>
        <w:t xml:space="preserve">(South Korea). </w:t>
      </w:r>
    </w:p>
  </w:footnote>
  <w:footnote w:id="43">
    <w:p w14:paraId="60EEA76F" w14:textId="2817DE79" w:rsidR="000E11D6" w:rsidRPr="007C1481" w:rsidRDefault="000E11D6">
      <w:pPr>
        <w:pStyle w:val="FootnoteText"/>
        <w:rPr>
          <w:rFonts w:cstheme="minorHAnsi"/>
        </w:rPr>
      </w:pPr>
      <w:r w:rsidRPr="007C1481">
        <w:rPr>
          <w:rStyle w:val="FootnoteReference"/>
          <w:rFonts w:cstheme="minorHAnsi"/>
        </w:rPr>
        <w:footnoteRef/>
      </w:r>
      <w:r w:rsidRPr="007C1481">
        <w:rPr>
          <w:rFonts w:cstheme="minorHAnsi"/>
        </w:rPr>
        <w:t xml:space="preserve"> </w:t>
      </w:r>
      <w:r w:rsidRPr="007C1481">
        <w:rPr>
          <w:rFonts w:eastAsiaTheme="minorEastAsia" w:cstheme="minorHAnsi"/>
          <w:i/>
          <w:iCs/>
        </w:rPr>
        <w:t xml:space="preserve">Insolvency, Restructuring and Dissolution Act 2018 </w:t>
      </w:r>
      <w:r w:rsidRPr="007C1481">
        <w:rPr>
          <w:rFonts w:eastAsiaTheme="minorEastAsia" w:cstheme="minorHAnsi"/>
        </w:rPr>
        <w:t>(Singapore)</w:t>
      </w:r>
    </w:p>
  </w:footnote>
  <w:footnote w:id="44">
    <w:p w14:paraId="4B6421AD" w14:textId="7806D0BC" w:rsidR="000E11D6" w:rsidRPr="007C1481" w:rsidRDefault="000E11D6" w:rsidP="009C3B29">
      <w:pPr>
        <w:pStyle w:val="FootnoteText"/>
        <w:jc w:val="both"/>
        <w:rPr>
          <w:rFonts w:cstheme="minorHAnsi"/>
        </w:rPr>
      </w:pPr>
      <w:r w:rsidRPr="007C1481">
        <w:rPr>
          <w:rStyle w:val="FootnoteReference"/>
          <w:rFonts w:cstheme="minorHAnsi"/>
        </w:rPr>
        <w:footnoteRef/>
      </w:r>
      <w:r w:rsidRPr="007C1481">
        <w:rPr>
          <w:rFonts w:cstheme="minorHAnsi"/>
        </w:rPr>
        <w:t xml:space="preserve"> </w:t>
      </w:r>
      <w:r w:rsidRPr="007C1481">
        <w:rPr>
          <w:rFonts w:eastAsiaTheme="minorEastAsia" w:cstheme="minorHAnsi"/>
          <w:i/>
          <w:iCs/>
        </w:rPr>
        <w:t xml:space="preserve">Insolvency (Cross-Border) Act 2013 </w:t>
      </w:r>
      <w:r w:rsidRPr="007C1481">
        <w:rPr>
          <w:rFonts w:eastAsiaTheme="minorEastAsia" w:cstheme="minorHAnsi"/>
          <w:iCs/>
        </w:rPr>
        <w:t xml:space="preserve">(Act No. 4/2013) (Vanuatu) </w:t>
      </w:r>
    </w:p>
  </w:footnote>
  <w:footnote w:id="45">
    <w:p w14:paraId="19A3EFEF" w14:textId="2D0C9726" w:rsidR="000E11D6" w:rsidRPr="007C1481" w:rsidRDefault="000E11D6" w:rsidP="00E45671">
      <w:pPr>
        <w:pStyle w:val="Default"/>
        <w:rPr>
          <w:rFonts w:asciiTheme="minorHAnsi" w:hAnsiTheme="minorHAnsi" w:cstheme="minorHAnsi"/>
          <w:color w:val="auto"/>
          <w:sz w:val="20"/>
          <w:szCs w:val="20"/>
        </w:rPr>
      </w:pPr>
      <w:r w:rsidRPr="007C1481">
        <w:rPr>
          <w:rStyle w:val="FootnoteReference"/>
          <w:rFonts w:asciiTheme="minorHAnsi" w:hAnsiTheme="minorHAnsi" w:cstheme="minorHAnsi"/>
          <w:color w:val="auto"/>
          <w:sz w:val="20"/>
          <w:szCs w:val="20"/>
        </w:rPr>
        <w:footnoteRef/>
      </w:r>
      <w:r w:rsidRPr="007C1481">
        <w:rPr>
          <w:rFonts w:asciiTheme="minorHAnsi" w:hAnsiTheme="minorHAnsi" w:cstheme="minorHAnsi"/>
          <w:color w:val="auto"/>
          <w:sz w:val="20"/>
          <w:szCs w:val="20"/>
        </w:rPr>
        <w:t xml:space="preserve"> </w:t>
      </w:r>
      <w:r w:rsidRPr="007C1481">
        <w:rPr>
          <w:rFonts w:asciiTheme="minorHAnsi" w:hAnsiTheme="minorHAnsi" w:cstheme="minorHAnsi"/>
          <w:i/>
          <w:iCs/>
          <w:color w:val="auto"/>
          <w:sz w:val="20"/>
          <w:szCs w:val="20"/>
        </w:rPr>
        <w:t xml:space="preserve">The Cross-Border Insolvency Regulations 2006. </w:t>
      </w:r>
      <w:r w:rsidRPr="007C1481">
        <w:rPr>
          <w:rFonts w:asciiTheme="minorHAnsi" w:hAnsiTheme="minorHAnsi" w:cstheme="minorHAnsi"/>
          <w:color w:val="auto"/>
          <w:sz w:val="20"/>
          <w:szCs w:val="20"/>
        </w:rPr>
        <w:t xml:space="preserve">(Great Britain). Also adopted in Northern Ireland. </w:t>
      </w:r>
    </w:p>
  </w:footnote>
  <w:footnote w:id="46">
    <w:p w14:paraId="1B091E6A" w14:textId="77777777" w:rsidR="000E11D6" w:rsidRPr="007C1481" w:rsidRDefault="000E11D6" w:rsidP="00675A35">
      <w:pPr>
        <w:pStyle w:val="FootnoteText"/>
        <w:rPr>
          <w:rFonts w:cstheme="minorHAnsi"/>
        </w:rPr>
      </w:pPr>
      <w:r w:rsidRPr="007C1481">
        <w:rPr>
          <w:rStyle w:val="FootnoteReference"/>
          <w:rFonts w:cstheme="minorHAnsi"/>
        </w:rPr>
        <w:footnoteRef/>
      </w:r>
      <w:r w:rsidRPr="007C1481">
        <w:rPr>
          <w:rFonts w:cstheme="minorHAnsi"/>
        </w:rPr>
        <w:t xml:space="preserve"> </w:t>
      </w:r>
      <w:r w:rsidRPr="007C1481">
        <w:rPr>
          <w:rFonts w:cstheme="minorHAnsi"/>
          <w:i/>
          <w:iCs/>
        </w:rPr>
        <w:t xml:space="preserve">Bankruptcy Code </w:t>
      </w:r>
      <w:r w:rsidRPr="007C1481">
        <w:rPr>
          <w:rFonts w:cstheme="minorHAnsi"/>
        </w:rPr>
        <w:t>(Chapter 15) (USA).</w:t>
      </w:r>
    </w:p>
  </w:footnote>
  <w:footnote w:id="47">
    <w:p w14:paraId="02F5399F" w14:textId="77777777" w:rsidR="000E11D6" w:rsidRPr="007C1481" w:rsidRDefault="000E11D6" w:rsidP="008A5F7D">
      <w:pPr>
        <w:pStyle w:val="FootnoteText"/>
        <w:rPr>
          <w:rFonts w:cstheme="minorHAnsi"/>
        </w:rPr>
      </w:pPr>
      <w:r w:rsidRPr="007C1481">
        <w:rPr>
          <w:rStyle w:val="FootnoteReference"/>
          <w:rFonts w:cstheme="minorHAnsi"/>
        </w:rPr>
        <w:footnoteRef/>
      </w:r>
      <w:r w:rsidRPr="007C1481">
        <w:rPr>
          <w:rFonts w:cstheme="minorHAnsi"/>
        </w:rPr>
        <w:t xml:space="preserve"> Explanatory Memorandum, </w:t>
      </w:r>
      <w:r w:rsidRPr="007C1481">
        <w:rPr>
          <w:rFonts w:cstheme="minorHAnsi"/>
          <w:i/>
          <w:iCs/>
        </w:rPr>
        <w:t>Cross-border Insolvency Bill 2007</w:t>
      </w:r>
      <w:r w:rsidRPr="007C1481">
        <w:rPr>
          <w:rFonts w:cstheme="minorHAnsi"/>
        </w:rPr>
        <w:t xml:space="preserve"> (</w:t>
      </w:r>
      <w:proofErr w:type="spellStart"/>
      <w:r w:rsidRPr="007C1481">
        <w:rPr>
          <w:rFonts w:cstheme="minorHAnsi"/>
        </w:rPr>
        <w:t>Cth</w:t>
      </w:r>
      <w:proofErr w:type="spellEnd"/>
      <w:r w:rsidRPr="007C1481">
        <w:rPr>
          <w:rFonts w:cstheme="minorHAnsi"/>
        </w:rPr>
        <w:t xml:space="preserve">) [1.4]. </w:t>
      </w:r>
    </w:p>
  </w:footnote>
  <w:footnote w:id="48">
    <w:p w14:paraId="2C3CFC49" w14:textId="0F49B86C" w:rsidR="000E11D6" w:rsidRPr="007C1481" w:rsidRDefault="000E11D6">
      <w:pPr>
        <w:pStyle w:val="FootnoteText"/>
        <w:rPr>
          <w:rFonts w:cstheme="minorHAnsi"/>
        </w:rPr>
      </w:pPr>
      <w:r w:rsidRPr="007C1481">
        <w:rPr>
          <w:rStyle w:val="FootnoteReference"/>
          <w:rFonts w:cstheme="minorHAnsi"/>
        </w:rPr>
        <w:footnoteRef/>
      </w:r>
      <w:r w:rsidRPr="007C1481">
        <w:rPr>
          <w:rFonts w:cstheme="minorHAnsi"/>
        </w:rPr>
        <w:t xml:space="preserve"> </w:t>
      </w:r>
      <w:r w:rsidRPr="007C1481">
        <w:rPr>
          <w:rFonts w:eastAsia="Arial" w:cstheme="minorHAnsi"/>
        </w:rPr>
        <w:t>A foreign proceeding in insolvency that relates to a personal or corporate debtor may be granted recognition in Australia by the Federal Court or a Territory or State Supreme Court. The FCCA has no CBI jurisdiction and the State and Territory Supreme Courts have no cross-border bankruptcy jurisdiction.</w:t>
      </w:r>
    </w:p>
  </w:footnote>
  <w:footnote w:id="49">
    <w:p w14:paraId="6AA9C61D" w14:textId="77777777" w:rsidR="000E11D6" w:rsidRPr="007C1481" w:rsidRDefault="000E11D6" w:rsidP="00851A1A">
      <w:pPr>
        <w:pStyle w:val="FootnoteText"/>
        <w:rPr>
          <w:rFonts w:cstheme="minorHAnsi"/>
        </w:rPr>
      </w:pPr>
      <w:r w:rsidRPr="007C1481">
        <w:rPr>
          <w:rStyle w:val="FootnoteReference"/>
          <w:rFonts w:cstheme="minorHAnsi"/>
        </w:rPr>
        <w:footnoteRef/>
      </w:r>
      <w:r w:rsidRPr="007C1481">
        <w:rPr>
          <w:rFonts w:cstheme="minorHAnsi"/>
        </w:rPr>
        <w:t xml:space="preserve"> </w:t>
      </w:r>
      <w:r w:rsidRPr="007C1481">
        <w:rPr>
          <w:rFonts w:cstheme="minorHAnsi"/>
          <w:i/>
          <w:iCs/>
        </w:rPr>
        <w:t xml:space="preserve">Federal Court (Bankruptcy) Rules 2016; </w:t>
      </w:r>
      <w:r w:rsidRPr="007C1481">
        <w:rPr>
          <w:rFonts w:cstheme="minorHAnsi"/>
        </w:rPr>
        <w:t xml:space="preserve">Division 15A </w:t>
      </w:r>
      <w:r w:rsidRPr="007C1481">
        <w:rPr>
          <w:rFonts w:cstheme="minorHAnsi"/>
          <w:i/>
          <w:iCs/>
        </w:rPr>
        <w:t>Federal Court (Corporations) Rules 2000</w:t>
      </w:r>
      <w:r w:rsidRPr="007C1481">
        <w:rPr>
          <w:rFonts w:cstheme="minorHAnsi"/>
        </w:rPr>
        <w:t>.</w:t>
      </w:r>
    </w:p>
  </w:footnote>
  <w:footnote w:id="50">
    <w:p w14:paraId="3FB6D5C7" w14:textId="77777777" w:rsidR="000E11D6" w:rsidRPr="007C1481" w:rsidRDefault="000E11D6" w:rsidP="0002680E">
      <w:pPr>
        <w:pStyle w:val="FootnoteText"/>
        <w:rPr>
          <w:rFonts w:cstheme="minorHAnsi"/>
        </w:rPr>
      </w:pPr>
      <w:r w:rsidRPr="007C1481">
        <w:rPr>
          <w:rStyle w:val="FootnoteReference"/>
          <w:rFonts w:cstheme="minorHAnsi"/>
        </w:rPr>
        <w:footnoteRef/>
      </w:r>
      <w:r w:rsidRPr="007C1481">
        <w:rPr>
          <w:rFonts w:cstheme="minorHAnsi"/>
        </w:rPr>
        <w:t xml:space="preserve"> </w:t>
      </w:r>
      <w:hyperlink r:id="rId15" w:history="1">
        <w:r w:rsidRPr="007C1481">
          <w:rPr>
            <w:rStyle w:val="Hyperlink"/>
            <w:rFonts w:cstheme="minorHAnsi"/>
            <w:color w:val="auto"/>
          </w:rPr>
          <w:t>https://uncitral.un.org/en/texts/insolvency/explanatorytexts/practice_guide_cross-border_insolvency</w:t>
        </w:r>
      </w:hyperlink>
      <w:r w:rsidRPr="007C1481">
        <w:rPr>
          <w:rFonts w:cstheme="minorHAnsi"/>
        </w:rPr>
        <w:t xml:space="preserve"> </w:t>
      </w:r>
    </w:p>
  </w:footnote>
  <w:footnote w:id="51">
    <w:p w14:paraId="5A0E9843" w14:textId="41BA1131" w:rsidR="000E11D6" w:rsidRPr="00C04472" w:rsidRDefault="000E11D6" w:rsidP="00C04472">
      <w:pPr>
        <w:pStyle w:val="FootnoteText"/>
        <w:rPr>
          <w:rFonts w:cstheme="minorHAnsi"/>
        </w:rPr>
      </w:pPr>
      <w:r w:rsidRPr="007C1481">
        <w:rPr>
          <w:rStyle w:val="FootnoteReference"/>
          <w:rFonts w:cstheme="minorHAnsi"/>
        </w:rPr>
        <w:footnoteRef/>
      </w:r>
      <w:r w:rsidRPr="007C1481">
        <w:rPr>
          <w:rFonts w:cstheme="minorHAnsi"/>
        </w:rPr>
        <w:t xml:space="preserve"> </w:t>
      </w:r>
      <w:r w:rsidRPr="007C1481">
        <w:rPr>
          <w:rFonts w:cstheme="minorHAnsi"/>
          <w:shd w:val="clear" w:color="auto" w:fill="FFFFFF"/>
        </w:rPr>
        <w:t>Cross-Border Insolvency Practice Note: Cooperation with Foreign Courts or Foreign Representatives (GPN-XBDR) 25 October 2016</w:t>
      </w:r>
      <w:r w:rsidRPr="007C1481">
        <w:rPr>
          <w:rFonts w:cstheme="minorHAnsi"/>
          <w:lang w:val="en-US"/>
        </w:rPr>
        <w:t xml:space="preserve">: </w:t>
      </w:r>
      <w:hyperlink r:id="rId16" w:history="1">
        <w:r w:rsidRPr="007C1481">
          <w:rPr>
            <w:rStyle w:val="Hyperlink"/>
            <w:rFonts w:cstheme="minorHAnsi"/>
            <w:color w:val="auto"/>
            <w:lang w:val="en-US"/>
          </w:rPr>
          <w:t>www.fedcourt.gov.au/law-and-practice/practice-documents/practice-notes/gpn-xbdr</w:t>
        </w:r>
      </w:hyperlink>
      <w:r w:rsidRPr="00C04472">
        <w:rPr>
          <w:rFonts w:cstheme="minorHAnsi"/>
          <w:lang w:val="en-US"/>
        </w:rPr>
        <w:t>.</w:t>
      </w:r>
      <w:r w:rsidR="00C04472" w:rsidRPr="00C04472">
        <w:rPr>
          <w:rFonts w:cstheme="minorHAnsi"/>
          <w:lang w:val="en-US"/>
        </w:rPr>
        <w:t xml:space="preserve"> </w:t>
      </w:r>
      <w:r w:rsidRPr="00C04472">
        <w:rPr>
          <w:rFonts w:cstheme="minorHAnsi"/>
        </w:rPr>
        <w:t>Specific mention is made in the Federal Court Practice Note of the steps to be taken in a maritime insolvency where there are concurrent proceedings to arrest a ship.</w:t>
      </w:r>
    </w:p>
  </w:footnote>
  <w:footnote w:id="52">
    <w:p w14:paraId="39A9BCE4" w14:textId="77777777" w:rsidR="000E11D6" w:rsidRPr="007C1481" w:rsidRDefault="000E11D6" w:rsidP="0002680E">
      <w:pPr>
        <w:pStyle w:val="FootnoteText"/>
        <w:rPr>
          <w:rFonts w:cstheme="minorHAnsi"/>
          <w:lang w:val="en-US"/>
        </w:rPr>
      </w:pPr>
      <w:r w:rsidRPr="007C1481">
        <w:rPr>
          <w:rStyle w:val="FootnoteReference"/>
          <w:rFonts w:cstheme="minorHAnsi"/>
        </w:rPr>
        <w:footnoteRef/>
      </w:r>
      <w:r w:rsidRPr="007C1481">
        <w:rPr>
          <w:rFonts w:cstheme="minorHAnsi"/>
          <w:lang w:val="en-US"/>
        </w:rPr>
        <w:t xml:space="preserve"> </w:t>
      </w:r>
      <w:r w:rsidRPr="007C1481">
        <w:rPr>
          <w:rFonts w:cstheme="minorHAnsi"/>
          <w:i/>
          <w:lang w:val="en-US"/>
        </w:rPr>
        <w:t>Practice Note SC Eq 6 - Cross Border Insolvency: Cooperation with Foreign Courts or Foreign Representatives</w:t>
      </w:r>
      <w:r w:rsidRPr="007C1481">
        <w:rPr>
          <w:rFonts w:cstheme="minorHAnsi"/>
          <w:lang w:val="en-US"/>
        </w:rPr>
        <w:t xml:space="preserve">, 15 September 2017 </w:t>
      </w:r>
      <w:hyperlink r:id="rId17" w:history="1">
        <w:r w:rsidRPr="007C1481">
          <w:rPr>
            <w:rStyle w:val="Hyperlink"/>
            <w:rFonts w:cstheme="minorHAnsi"/>
            <w:color w:val="auto"/>
            <w:lang w:val="en-US"/>
          </w:rPr>
          <w:t>www.practicenotes.justice.nsw.gov.au/practice_notes/nswsc_pc.nsf/a15f50afb1aa22a9ca2570ed000a2b08/4f96eb1106eb1b61ca25819f0002a5dc/$FILE/2017_09_15_Practice%20Note%20SC%20EQ%206.pdf</w:t>
        </w:r>
      </w:hyperlink>
      <w:r w:rsidRPr="007C1481">
        <w:rPr>
          <w:rFonts w:cstheme="minorHAnsi"/>
          <w:lang w:val="en-US"/>
        </w:rPr>
        <w:t xml:space="preserve">. </w:t>
      </w:r>
    </w:p>
  </w:footnote>
  <w:footnote w:id="53">
    <w:p w14:paraId="3FC03C70" w14:textId="77777777" w:rsidR="000E11D6" w:rsidRPr="007C1481" w:rsidRDefault="000E11D6" w:rsidP="0002680E">
      <w:pPr>
        <w:pStyle w:val="FootnoteText"/>
        <w:rPr>
          <w:rFonts w:cstheme="minorHAnsi"/>
        </w:rPr>
      </w:pPr>
      <w:r w:rsidRPr="007C1481">
        <w:rPr>
          <w:rStyle w:val="FootnoteReference"/>
          <w:rFonts w:cstheme="minorHAnsi"/>
        </w:rPr>
        <w:footnoteRef/>
      </w:r>
      <w:r w:rsidRPr="007C1481">
        <w:rPr>
          <w:rFonts w:cstheme="minorHAnsi"/>
        </w:rPr>
        <w:t xml:space="preserve"> </w:t>
      </w:r>
      <w:r w:rsidRPr="007C1481">
        <w:rPr>
          <w:rFonts w:cstheme="minorHAnsi"/>
          <w:i/>
          <w:lang w:val="en-US"/>
        </w:rPr>
        <w:t>Practice Note SC CC 6: Cross-Border Insolvency Cooperation with Foreign Courts or Representatives and Coordination Agreements</w:t>
      </w:r>
      <w:r w:rsidRPr="007C1481">
        <w:rPr>
          <w:rFonts w:cstheme="minorHAnsi"/>
          <w:lang w:val="en-US"/>
        </w:rPr>
        <w:t xml:space="preserve"> 30 January 2017 </w:t>
      </w:r>
      <w:hyperlink r:id="rId18" w:history="1">
        <w:r w:rsidRPr="007C1481">
          <w:rPr>
            <w:rStyle w:val="Hyperlink"/>
            <w:rFonts w:cstheme="minorHAnsi"/>
            <w:color w:val="auto"/>
            <w:lang w:val="en-US"/>
          </w:rPr>
          <w:t>www.supremecourt.vic.gov.au/sites/default/files/assets/2017/10/f3/855ec74aa/CC6CrossborderInsolvency.pdf</w:t>
        </w:r>
      </w:hyperlink>
      <w:r w:rsidRPr="007C1481">
        <w:rPr>
          <w:rFonts w:cstheme="minorHAnsi"/>
          <w:lang w:val="en-US"/>
        </w:rPr>
        <w:t xml:space="preserve">. </w:t>
      </w:r>
    </w:p>
  </w:footnote>
  <w:footnote w:id="54">
    <w:p w14:paraId="4CDB64B6" w14:textId="77777777" w:rsidR="000E11D6" w:rsidRPr="007C1481" w:rsidRDefault="000E11D6" w:rsidP="0002680E">
      <w:pPr>
        <w:pStyle w:val="FootnoteText"/>
        <w:rPr>
          <w:rFonts w:cstheme="minorHAnsi"/>
        </w:rPr>
      </w:pPr>
      <w:r w:rsidRPr="007C1481">
        <w:rPr>
          <w:rStyle w:val="FootnoteReference"/>
          <w:rFonts w:cstheme="minorHAnsi"/>
        </w:rPr>
        <w:footnoteRef/>
      </w:r>
      <w:r w:rsidRPr="007C1481">
        <w:rPr>
          <w:rFonts w:cstheme="minorHAnsi"/>
        </w:rPr>
        <w:t xml:space="preserve"> </w:t>
      </w:r>
      <w:r w:rsidRPr="007C1481">
        <w:rPr>
          <w:rFonts w:cstheme="minorHAnsi"/>
          <w:i/>
        </w:rPr>
        <w:t>Practice Direction No 2 of 2009</w:t>
      </w:r>
      <w:r w:rsidRPr="007C1481">
        <w:rPr>
          <w:rFonts w:cstheme="minorHAnsi"/>
        </w:rPr>
        <w:t xml:space="preserve"> - </w:t>
      </w:r>
      <w:r w:rsidRPr="007C1481">
        <w:rPr>
          <w:rFonts w:cstheme="minorHAnsi"/>
          <w:i/>
        </w:rPr>
        <w:t>Cross-Border Insolvency – Cooperation with Foreign Courts or Foreign Representatives</w:t>
      </w:r>
      <w:r w:rsidRPr="007C1481">
        <w:rPr>
          <w:rFonts w:cstheme="minorHAnsi"/>
        </w:rPr>
        <w:t xml:space="preserve">, 27 February 2009 </w:t>
      </w:r>
      <w:hyperlink r:id="rId19" w:history="1">
        <w:r w:rsidRPr="007C1481">
          <w:rPr>
            <w:rStyle w:val="Hyperlink"/>
            <w:rFonts w:cstheme="minorHAnsi"/>
            <w:color w:val="auto"/>
          </w:rPr>
          <w:t>https://supremecourt.wa.gov.au/_files/Consolidated%20Practice%20Directions.pdf.pdf</w:t>
        </w:r>
      </w:hyperlink>
      <w:r w:rsidRPr="007C1481">
        <w:rPr>
          <w:rFonts w:cstheme="minorHAnsi"/>
        </w:rPr>
        <w:t xml:space="preserve"> </w:t>
      </w:r>
    </w:p>
  </w:footnote>
  <w:footnote w:id="55">
    <w:p w14:paraId="17B373A9" w14:textId="77777777" w:rsidR="000E11D6" w:rsidRPr="007C1481" w:rsidRDefault="000E11D6" w:rsidP="0002680E">
      <w:pPr>
        <w:pStyle w:val="FootnoteText"/>
        <w:rPr>
          <w:rFonts w:cstheme="minorHAnsi"/>
        </w:rPr>
      </w:pPr>
      <w:r w:rsidRPr="007C1481">
        <w:rPr>
          <w:rStyle w:val="FootnoteReference"/>
          <w:rFonts w:cstheme="minorHAnsi"/>
        </w:rPr>
        <w:footnoteRef/>
      </w:r>
      <w:r w:rsidRPr="007C1481">
        <w:rPr>
          <w:rFonts w:cstheme="minorHAnsi"/>
        </w:rPr>
        <w:t xml:space="preserve"> </w:t>
      </w:r>
      <w:r w:rsidRPr="007C1481">
        <w:rPr>
          <w:rFonts w:cstheme="minorHAnsi"/>
          <w:i/>
        </w:rPr>
        <w:t>Consolidated Practice Directions 2009 - 9.11 – Cross-Border Insolvency – Cooperation with Foreign Courts or Foreign Representatives</w:t>
      </w:r>
      <w:r w:rsidRPr="007C1481">
        <w:rPr>
          <w:rFonts w:cstheme="minorHAnsi"/>
        </w:rPr>
        <w:t xml:space="preserve">. </w:t>
      </w:r>
      <w:hyperlink r:id="rId20" w:history="1">
        <w:r w:rsidRPr="007C1481">
          <w:rPr>
            <w:rStyle w:val="Hyperlink"/>
            <w:rFonts w:cstheme="minorHAnsi"/>
            <w:color w:val="auto"/>
          </w:rPr>
          <w:t>https://supremecourt.wa.gov.au/_files/Consolidated%20Practice%20Directions.pdf.pdf</w:t>
        </w:r>
      </w:hyperlink>
      <w:r w:rsidRPr="007C1481">
        <w:rPr>
          <w:rFonts w:cstheme="minorHAnsi"/>
        </w:rPr>
        <w:t xml:space="preserve"> </w:t>
      </w:r>
    </w:p>
  </w:footnote>
  <w:footnote w:id="56">
    <w:p w14:paraId="5A68D031" w14:textId="77777777" w:rsidR="000E11D6" w:rsidRPr="007C1481" w:rsidRDefault="000E11D6" w:rsidP="0002680E">
      <w:pPr>
        <w:pStyle w:val="FootnoteText"/>
        <w:rPr>
          <w:rFonts w:cstheme="minorHAnsi"/>
        </w:rPr>
      </w:pPr>
      <w:r w:rsidRPr="007C1481">
        <w:rPr>
          <w:rStyle w:val="FootnoteReference"/>
          <w:rFonts w:cstheme="minorHAnsi"/>
        </w:rPr>
        <w:footnoteRef/>
      </w:r>
      <w:r w:rsidRPr="007C1481">
        <w:rPr>
          <w:rFonts w:cstheme="minorHAnsi"/>
        </w:rPr>
        <w:t xml:space="preserve"> </w:t>
      </w:r>
      <w:r w:rsidRPr="007C1481">
        <w:rPr>
          <w:rFonts w:cstheme="minorHAnsi"/>
          <w:i/>
        </w:rPr>
        <w:t>Practice Direction No 5 of 2009 - Corporations Law Rules Division 15A – Cross-Border Insolvency – Cooperation with Foreign Courts</w:t>
      </w:r>
      <w:r w:rsidRPr="007C1481">
        <w:rPr>
          <w:rFonts w:cstheme="minorHAnsi"/>
        </w:rPr>
        <w:t xml:space="preserve"> or Foreign Representatives, 11 June 2009 </w:t>
      </w:r>
      <w:hyperlink r:id="rId21" w:history="1">
        <w:r w:rsidRPr="007C1481">
          <w:rPr>
            <w:rStyle w:val="Hyperlink"/>
            <w:rFonts w:cstheme="minorHAnsi"/>
            <w:color w:val="auto"/>
          </w:rPr>
          <w:t>http://www.supremecourt.nt.gov.au/lawyers/documents/List_of_Supreme_Court_Practice_Directions.pdf</w:t>
        </w:r>
      </w:hyperlink>
      <w:r w:rsidRPr="007C1481">
        <w:rPr>
          <w:rFonts w:cstheme="minorHAnsi"/>
        </w:rPr>
        <w:t xml:space="preserve"> </w:t>
      </w:r>
    </w:p>
  </w:footnote>
  <w:footnote w:id="57">
    <w:p w14:paraId="1A6C947A" w14:textId="35D6B197" w:rsidR="000E11D6" w:rsidRPr="007C1481" w:rsidRDefault="000E11D6">
      <w:pPr>
        <w:pStyle w:val="FootnoteText"/>
        <w:rPr>
          <w:rFonts w:cstheme="minorHAnsi"/>
        </w:rPr>
      </w:pPr>
      <w:r w:rsidRPr="007C1481">
        <w:rPr>
          <w:rStyle w:val="FootnoteReference"/>
          <w:rFonts w:cstheme="minorHAnsi"/>
        </w:rPr>
        <w:footnoteRef/>
      </w:r>
      <w:r w:rsidRPr="007C1481">
        <w:rPr>
          <w:rFonts w:cstheme="minorHAnsi"/>
        </w:rPr>
        <w:t xml:space="preserve"> See CBIA s 22 and </w:t>
      </w:r>
      <w:r w:rsidRPr="007C1481">
        <w:rPr>
          <w:rFonts w:cstheme="minorHAnsi"/>
          <w:i/>
          <w:iCs/>
        </w:rPr>
        <w:t xml:space="preserve">Re Chow Cho Poon (Pte) Ltd </w:t>
      </w:r>
      <w:r w:rsidRPr="007C1481">
        <w:rPr>
          <w:rFonts w:cstheme="minorHAnsi"/>
        </w:rPr>
        <w:t>[2011] NSWSC 300 (Barrett J).</w:t>
      </w:r>
    </w:p>
  </w:footnote>
  <w:footnote w:id="58">
    <w:p w14:paraId="21D4D883" w14:textId="5C51BC02" w:rsidR="000E11D6" w:rsidRPr="007C1481" w:rsidRDefault="000E11D6" w:rsidP="00C73D25">
      <w:pPr>
        <w:spacing w:after="0" w:line="240" w:lineRule="auto"/>
        <w:rPr>
          <w:rFonts w:cstheme="minorHAnsi"/>
          <w:sz w:val="20"/>
          <w:szCs w:val="20"/>
        </w:rPr>
      </w:pPr>
      <w:r w:rsidRPr="007C1481">
        <w:rPr>
          <w:rStyle w:val="FootnoteReference"/>
          <w:rFonts w:cstheme="minorHAnsi"/>
          <w:sz w:val="20"/>
          <w:szCs w:val="20"/>
        </w:rPr>
        <w:footnoteRef/>
      </w:r>
      <w:r w:rsidRPr="007C1481">
        <w:rPr>
          <w:rFonts w:cstheme="minorHAnsi"/>
          <w:sz w:val="20"/>
          <w:szCs w:val="20"/>
        </w:rPr>
        <w:t xml:space="preserve"> </w:t>
      </w:r>
      <w:r w:rsidRPr="007C1481">
        <w:rPr>
          <w:rFonts w:cstheme="minorHAnsi"/>
          <w:sz w:val="20"/>
          <w:szCs w:val="20"/>
          <w:lang w:eastAsia="en-AU"/>
        </w:rPr>
        <w:t>The two regimes are not mutually exclusive — recognition overseas under the Model Law does not preclude the local issue of letters of request.</w:t>
      </w:r>
    </w:p>
  </w:footnote>
  <w:footnote w:id="59">
    <w:p w14:paraId="4797DAE4" w14:textId="77777777" w:rsidR="000E11D6" w:rsidRPr="007C1481" w:rsidRDefault="000E11D6" w:rsidP="00FC0647">
      <w:pPr>
        <w:pStyle w:val="FootnoteText"/>
        <w:rPr>
          <w:rFonts w:cstheme="minorHAnsi"/>
        </w:rPr>
      </w:pPr>
      <w:r w:rsidRPr="007C1481">
        <w:rPr>
          <w:rStyle w:val="FootnoteReference"/>
          <w:rFonts w:cstheme="minorHAnsi"/>
        </w:rPr>
        <w:footnoteRef/>
      </w:r>
      <w:r w:rsidRPr="007C1481">
        <w:rPr>
          <w:rFonts w:cstheme="minorHAnsi"/>
        </w:rPr>
        <w:t xml:space="preserve"> </w:t>
      </w:r>
      <w:hyperlink r:id="rId22" w:history="1">
        <w:r w:rsidRPr="007C1481">
          <w:rPr>
            <w:rStyle w:val="Hyperlink"/>
            <w:rFonts w:cstheme="minorHAnsi"/>
            <w:i/>
            <w:color w:val="auto"/>
          </w:rPr>
          <w:t>http://www.uncitral.org/clout</w:t>
        </w:r>
      </w:hyperlink>
      <w:r w:rsidRPr="007C1481">
        <w:rPr>
          <w:rFonts w:eastAsia="Arial" w:cstheme="minorHAnsi"/>
          <w:i/>
          <w:u w:val="single"/>
        </w:rPr>
        <w:t>.</w:t>
      </w:r>
    </w:p>
  </w:footnote>
  <w:footnote w:id="60">
    <w:p w14:paraId="037338CA" w14:textId="6BD93412" w:rsidR="000E11D6" w:rsidRPr="007C1481" w:rsidRDefault="000E11D6">
      <w:pPr>
        <w:pStyle w:val="FootnoteText"/>
        <w:rPr>
          <w:rFonts w:cstheme="minorHAnsi"/>
        </w:rPr>
      </w:pPr>
      <w:r w:rsidRPr="007C1481">
        <w:rPr>
          <w:rStyle w:val="FootnoteReference"/>
          <w:rFonts w:cstheme="minorHAnsi"/>
        </w:rPr>
        <w:footnoteRef/>
      </w:r>
      <w:r w:rsidRPr="007C1481">
        <w:rPr>
          <w:rFonts w:cstheme="minorHAnsi"/>
        </w:rPr>
        <w:t xml:space="preserve"> Some States have introduced a requirement for reciprocity e.g. South Africa, the Philippines. </w:t>
      </w:r>
    </w:p>
  </w:footnote>
  <w:footnote w:id="61">
    <w:p w14:paraId="6D2D2E8C" w14:textId="0B42687D" w:rsidR="000E11D6" w:rsidRPr="007C1481" w:rsidRDefault="000E11D6">
      <w:pPr>
        <w:pStyle w:val="FootnoteText"/>
        <w:rPr>
          <w:rFonts w:cstheme="minorHAnsi"/>
        </w:rPr>
      </w:pPr>
      <w:r w:rsidRPr="007C1481">
        <w:rPr>
          <w:rStyle w:val="FootnoteReference"/>
          <w:rFonts w:cstheme="minorHAnsi"/>
        </w:rPr>
        <w:footnoteRef/>
      </w:r>
      <w:r w:rsidRPr="007C1481">
        <w:rPr>
          <w:rFonts w:cstheme="minorHAnsi"/>
        </w:rPr>
        <w:t xml:space="preserve"> Also, b</w:t>
      </w:r>
      <w:r w:rsidRPr="007C1481">
        <w:rPr>
          <w:rFonts w:eastAsia="Arial" w:cstheme="minorHAnsi"/>
        </w:rPr>
        <w:t xml:space="preserve">anks, insurers and life companies are excluded from the Model Law regime. See reg 4 </w:t>
      </w:r>
      <w:r w:rsidR="006D2CAF">
        <w:rPr>
          <w:rFonts w:eastAsia="Arial" w:cstheme="minorHAnsi"/>
        </w:rPr>
        <w:t xml:space="preserve">pursuant to CBIA </w:t>
      </w:r>
      <w:r w:rsidRPr="007C1481">
        <w:rPr>
          <w:rFonts w:eastAsia="Arial" w:cstheme="minorHAnsi"/>
        </w:rPr>
        <w:t>s 23.</w:t>
      </w:r>
    </w:p>
  </w:footnote>
  <w:footnote w:id="62">
    <w:p w14:paraId="0F763413" w14:textId="299F7388" w:rsidR="000E11D6" w:rsidRPr="007C1481" w:rsidRDefault="000E11D6">
      <w:pPr>
        <w:pStyle w:val="FootnoteText"/>
        <w:rPr>
          <w:rFonts w:cstheme="minorHAnsi"/>
        </w:rPr>
      </w:pPr>
      <w:r w:rsidRPr="007C1481">
        <w:rPr>
          <w:rStyle w:val="FootnoteReference"/>
          <w:rFonts w:cstheme="minorHAnsi"/>
        </w:rPr>
        <w:footnoteRef/>
      </w:r>
      <w:r w:rsidRPr="007C1481">
        <w:rPr>
          <w:rFonts w:cstheme="minorHAnsi"/>
        </w:rPr>
        <w:t xml:space="preserve"> </w:t>
      </w:r>
      <w:r w:rsidRPr="007C1481">
        <w:rPr>
          <w:rFonts w:cstheme="minorHAnsi"/>
          <w:i/>
          <w:iCs/>
          <w:shd w:val="clear" w:color="auto" w:fill="FFFFFF"/>
        </w:rPr>
        <w:t>Akers v Deputy Commissioner of Taxation</w:t>
      </w:r>
      <w:r w:rsidRPr="007C1481">
        <w:rPr>
          <w:rFonts w:cstheme="minorHAnsi"/>
          <w:shd w:val="clear" w:color="auto" w:fill="FFFFFF"/>
        </w:rPr>
        <w:t xml:space="preserve"> [2014] FCAFC 57 at [120].</w:t>
      </w:r>
    </w:p>
  </w:footnote>
  <w:footnote w:id="63">
    <w:p w14:paraId="4BAC935E" w14:textId="33D6351F" w:rsidR="000E11D6" w:rsidRPr="007C1481" w:rsidRDefault="000E11D6" w:rsidP="00CF7D99">
      <w:pPr>
        <w:pStyle w:val="FootnoteText"/>
        <w:rPr>
          <w:rFonts w:cstheme="minorHAnsi"/>
        </w:rPr>
      </w:pPr>
      <w:r w:rsidRPr="007C1481">
        <w:rPr>
          <w:rStyle w:val="FootnoteReference"/>
          <w:rFonts w:cstheme="minorHAnsi"/>
        </w:rPr>
        <w:footnoteRef/>
      </w:r>
      <w:r w:rsidRPr="007C1481">
        <w:rPr>
          <w:rFonts w:cstheme="minorHAnsi"/>
        </w:rPr>
        <w:t xml:space="preserve"> </w:t>
      </w:r>
      <w:r w:rsidRPr="007C1481">
        <w:rPr>
          <w:rFonts w:cstheme="minorHAnsi"/>
          <w:i/>
          <w:iCs/>
          <w:shd w:val="clear" w:color="auto" w:fill="FFFFFF"/>
        </w:rPr>
        <w:t>Akers v Deputy Commissioner of Taxation</w:t>
      </w:r>
      <w:r w:rsidRPr="007C1481">
        <w:rPr>
          <w:rFonts w:cstheme="minorHAnsi"/>
          <w:shd w:val="clear" w:color="auto" w:fill="FFFFFF"/>
        </w:rPr>
        <w:t xml:space="preserve"> [2014] FCAFC 57 at [28].</w:t>
      </w:r>
    </w:p>
  </w:footnote>
  <w:footnote w:id="64">
    <w:p w14:paraId="776EF8A5" w14:textId="79C47373" w:rsidR="000E11D6" w:rsidRPr="007C1481" w:rsidRDefault="000E11D6">
      <w:pPr>
        <w:pStyle w:val="FootnoteText"/>
        <w:rPr>
          <w:rFonts w:cstheme="minorHAnsi"/>
        </w:rPr>
      </w:pPr>
      <w:r w:rsidRPr="007C1481">
        <w:rPr>
          <w:rStyle w:val="FootnoteReference"/>
          <w:rFonts w:cstheme="minorHAnsi"/>
        </w:rPr>
        <w:footnoteRef/>
      </w:r>
      <w:r w:rsidRPr="007C1481">
        <w:rPr>
          <w:rFonts w:cstheme="minorHAnsi"/>
        </w:rPr>
        <w:t xml:space="preserve"> </w:t>
      </w:r>
      <w:r w:rsidRPr="007C1481">
        <w:rPr>
          <w:rFonts w:cstheme="minorHAnsi"/>
          <w:lang w:val="en" w:eastAsia="en-AU"/>
        </w:rPr>
        <w:t xml:space="preserve">There is some precedent for this globally with the joint hearings of US and Canadian courts in the bankruptcy of the </w:t>
      </w:r>
      <w:r w:rsidRPr="007C1481">
        <w:rPr>
          <w:rFonts w:cstheme="minorHAnsi"/>
          <w:i/>
          <w:iCs/>
          <w:lang w:val="en" w:eastAsia="en-AU"/>
        </w:rPr>
        <w:t>Nortel</w:t>
      </w:r>
      <w:r w:rsidRPr="007C1481">
        <w:rPr>
          <w:rFonts w:cstheme="minorHAnsi"/>
          <w:lang w:val="en" w:eastAsia="en-AU"/>
        </w:rPr>
        <w:t xml:space="preserve"> group.</w:t>
      </w:r>
    </w:p>
  </w:footnote>
  <w:footnote w:id="65">
    <w:p w14:paraId="00B4B337" w14:textId="08BE7835" w:rsidR="000E11D6" w:rsidRPr="007C1481" w:rsidRDefault="000E11D6" w:rsidP="009E4213">
      <w:pPr>
        <w:spacing w:after="0" w:line="240" w:lineRule="auto"/>
        <w:rPr>
          <w:rFonts w:cstheme="minorHAnsi"/>
          <w:sz w:val="20"/>
          <w:szCs w:val="20"/>
        </w:rPr>
      </w:pPr>
      <w:r w:rsidRPr="007C1481">
        <w:rPr>
          <w:rStyle w:val="FootnoteReference"/>
          <w:rFonts w:cstheme="minorHAnsi"/>
          <w:sz w:val="20"/>
          <w:szCs w:val="20"/>
        </w:rPr>
        <w:footnoteRef/>
      </w:r>
      <w:r w:rsidRPr="007C1481">
        <w:rPr>
          <w:rFonts w:cstheme="minorHAnsi"/>
          <w:sz w:val="20"/>
          <w:szCs w:val="20"/>
        </w:rPr>
        <w:t xml:space="preserve"> </w:t>
      </w:r>
      <w:r w:rsidRPr="007C1481">
        <w:rPr>
          <w:rFonts w:cstheme="minorHAnsi"/>
          <w:i/>
          <w:iCs/>
          <w:sz w:val="20"/>
          <w:szCs w:val="20"/>
          <w:lang w:val="en" w:eastAsia="en-AU"/>
        </w:rPr>
        <w:t xml:space="preserve">Kelly, in the Matter of Halifax Investment Services Pty Ltd (in </w:t>
      </w:r>
      <w:proofErr w:type="spellStart"/>
      <w:r w:rsidRPr="007C1481">
        <w:rPr>
          <w:rFonts w:cstheme="minorHAnsi"/>
          <w:i/>
          <w:iCs/>
          <w:sz w:val="20"/>
          <w:szCs w:val="20"/>
          <w:lang w:val="en" w:eastAsia="en-AU"/>
        </w:rPr>
        <w:t>liq</w:t>
      </w:r>
      <w:proofErr w:type="spellEnd"/>
      <w:r w:rsidRPr="007C1481">
        <w:rPr>
          <w:rFonts w:cstheme="minorHAnsi"/>
          <w:i/>
          <w:iCs/>
          <w:sz w:val="20"/>
          <w:szCs w:val="20"/>
          <w:lang w:val="en" w:eastAsia="en-AU"/>
        </w:rPr>
        <w:t xml:space="preserve">) (No 5) </w:t>
      </w:r>
      <w:r w:rsidRPr="007C1481">
        <w:rPr>
          <w:rFonts w:cstheme="minorHAnsi"/>
          <w:sz w:val="20"/>
          <w:szCs w:val="20"/>
          <w:lang w:val="en" w:eastAsia="en-AU"/>
        </w:rPr>
        <w:t>[2019] FCA 1341.</w:t>
      </w:r>
    </w:p>
  </w:footnote>
  <w:footnote w:id="66">
    <w:p w14:paraId="2F4BE87F" w14:textId="04676821" w:rsidR="000E11D6" w:rsidRPr="007C1481" w:rsidRDefault="000E11D6" w:rsidP="00AC2AAE">
      <w:pPr>
        <w:pStyle w:val="FootnoteText"/>
        <w:rPr>
          <w:rFonts w:cstheme="minorHAnsi"/>
        </w:rPr>
      </w:pPr>
      <w:r w:rsidRPr="007C1481">
        <w:rPr>
          <w:rStyle w:val="FootnoteReference"/>
          <w:rFonts w:cstheme="minorHAnsi"/>
        </w:rPr>
        <w:footnoteRef/>
      </w:r>
      <w:r w:rsidRPr="007C1481">
        <w:rPr>
          <w:rFonts w:cstheme="minorHAnsi"/>
        </w:rPr>
        <w:t xml:space="preserve"> See </w:t>
      </w:r>
      <w:r w:rsidRPr="007C1481">
        <w:rPr>
          <w:rFonts w:cstheme="minorHAnsi"/>
          <w:i/>
          <w:iCs/>
        </w:rPr>
        <w:t>Halifax</w:t>
      </w:r>
      <w:r w:rsidRPr="007C1481">
        <w:rPr>
          <w:rFonts w:cstheme="minorHAnsi"/>
          <w:i/>
          <w:iCs/>
          <w:shd w:val="clear" w:color="auto" w:fill="FFFFFF"/>
        </w:rPr>
        <w:t xml:space="preserve"> New Zealand Limited</w:t>
      </w:r>
      <w:r w:rsidRPr="007C1481">
        <w:rPr>
          <w:rFonts w:cstheme="minorHAnsi"/>
          <w:shd w:val="clear" w:color="auto" w:fill="FFFFFF"/>
        </w:rPr>
        <w:t xml:space="preserve"> [2018] NZHC 3390.</w:t>
      </w:r>
    </w:p>
  </w:footnote>
  <w:footnote w:id="67">
    <w:p w14:paraId="0E232DBA" w14:textId="5131F340" w:rsidR="000E11D6" w:rsidRPr="007C1481" w:rsidRDefault="000E11D6" w:rsidP="00076DCC">
      <w:pPr>
        <w:spacing w:after="0" w:line="240" w:lineRule="auto"/>
        <w:rPr>
          <w:rFonts w:cstheme="minorHAnsi"/>
          <w:sz w:val="20"/>
          <w:szCs w:val="20"/>
        </w:rPr>
      </w:pPr>
      <w:r w:rsidRPr="007C1481">
        <w:rPr>
          <w:rStyle w:val="FootnoteReference"/>
          <w:rFonts w:cstheme="minorHAnsi"/>
          <w:sz w:val="20"/>
          <w:szCs w:val="20"/>
        </w:rPr>
        <w:footnoteRef/>
      </w:r>
      <w:r w:rsidRPr="007C1481">
        <w:rPr>
          <w:rFonts w:cstheme="minorHAnsi"/>
          <w:sz w:val="20"/>
          <w:szCs w:val="20"/>
        </w:rPr>
        <w:t xml:space="preserve"> </w:t>
      </w:r>
      <w:r w:rsidRPr="007C1481">
        <w:rPr>
          <w:rFonts w:cstheme="minorHAnsi"/>
          <w:i/>
          <w:iCs/>
          <w:sz w:val="20"/>
          <w:szCs w:val="20"/>
          <w:lang w:val="en" w:eastAsia="en-AU"/>
        </w:rPr>
        <w:t xml:space="preserve">Kelly, in the Matter of Halifax Investment Services Pty Ltd (in </w:t>
      </w:r>
      <w:proofErr w:type="spellStart"/>
      <w:r w:rsidRPr="007C1481">
        <w:rPr>
          <w:rFonts w:cstheme="minorHAnsi"/>
          <w:i/>
          <w:iCs/>
          <w:sz w:val="20"/>
          <w:szCs w:val="20"/>
          <w:lang w:val="en" w:eastAsia="en-AU"/>
        </w:rPr>
        <w:t>liq</w:t>
      </w:r>
      <w:proofErr w:type="spellEnd"/>
      <w:r w:rsidRPr="007C1481">
        <w:rPr>
          <w:rFonts w:cstheme="minorHAnsi"/>
          <w:i/>
          <w:iCs/>
          <w:sz w:val="20"/>
          <w:szCs w:val="20"/>
          <w:lang w:val="en" w:eastAsia="en-AU"/>
        </w:rPr>
        <w:t xml:space="preserve">) (No 5) </w:t>
      </w:r>
      <w:r w:rsidRPr="007C1481">
        <w:rPr>
          <w:rFonts w:cstheme="minorHAnsi"/>
          <w:sz w:val="20"/>
          <w:szCs w:val="20"/>
          <w:lang w:val="en" w:eastAsia="en-AU"/>
        </w:rPr>
        <w:t>[2019] FCA 1341</w:t>
      </w:r>
      <w:r w:rsidRPr="007C1481">
        <w:rPr>
          <w:rFonts w:cstheme="minorHAnsi"/>
          <w:sz w:val="20"/>
          <w:szCs w:val="20"/>
        </w:rPr>
        <w:t xml:space="preserve"> at [30]. </w:t>
      </w:r>
    </w:p>
  </w:footnote>
  <w:footnote w:id="68">
    <w:p w14:paraId="43738143" w14:textId="583BD14B" w:rsidR="000E11D6" w:rsidRPr="007C1481" w:rsidRDefault="000E11D6" w:rsidP="00E74A28">
      <w:pPr>
        <w:pStyle w:val="FootnoteText"/>
        <w:rPr>
          <w:rFonts w:cstheme="minorHAnsi"/>
        </w:rPr>
      </w:pPr>
      <w:r w:rsidRPr="007C1481">
        <w:rPr>
          <w:rStyle w:val="FootnoteReference"/>
          <w:rFonts w:cstheme="minorHAnsi"/>
        </w:rPr>
        <w:footnoteRef/>
      </w:r>
      <w:r w:rsidRPr="007C1481">
        <w:rPr>
          <w:rFonts w:cstheme="minorHAnsi"/>
        </w:rPr>
        <w:t xml:space="preserve"> The Federal Court was required by s 581(2) to act in aid of the NZHC because NZ is a “prescribed country” under s 581 (see reg 5.6.74(e) and because the NZHC has jurisdiction in “external administration matters”. There was no need for a letter of request from the NZHC to the FCA if the NZHC were to accede to a letter of request.</w:t>
      </w:r>
      <w:r w:rsidR="00E74A28">
        <w:rPr>
          <w:rFonts w:cstheme="minorHAnsi"/>
        </w:rPr>
        <w:t xml:space="preserve"> </w:t>
      </w:r>
      <w:r w:rsidRPr="007C1481">
        <w:rPr>
          <w:rFonts w:cstheme="minorHAnsi"/>
          <w:lang w:val="en" w:eastAsia="en-AU"/>
        </w:rPr>
        <w:t xml:space="preserve">The decision also demonstrates the ongoing relevance of section 581 of the Corporations Act despite the adoption of the Model Law.  </w:t>
      </w:r>
      <w:r w:rsidRPr="007C1481">
        <w:rPr>
          <w:rFonts w:cstheme="minorHAnsi"/>
        </w:rPr>
        <w:t xml:space="preserve">The parties’ view was that the Model Law had no role because there were two separate entities, and the model law appears to contemplate a single entity. However, this is being queried as to whether one could facilitate such cooperation through parallel recognition applications under the Model Law in each country. In any event, the model law on group insolvencies would likely be helpful in situations like this. </w:t>
      </w:r>
      <w:r w:rsidR="009D30CC" w:rsidRPr="007C1481">
        <w:rPr>
          <w:rFonts w:cstheme="minorHAnsi"/>
        </w:rPr>
        <w:t>(</w:t>
      </w:r>
      <w:r w:rsidR="009D30CC">
        <w:rPr>
          <w:rFonts w:cstheme="minorHAnsi"/>
        </w:rPr>
        <w:t xml:space="preserve">See </w:t>
      </w:r>
      <w:r w:rsidR="009D30CC" w:rsidRPr="007C1481">
        <w:rPr>
          <w:rFonts w:cstheme="minorHAnsi"/>
          <w:lang w:val="en-US"/>
        </w:rPr>
        <w:t xml:space="preserve">[2019] </w:t>
      </w:r>
      <w:r w:rsidR="009D30CC">
        <w:rPr>
          <w:rFonts w:cstheme="minorHAnsi"/>
          <w:i/>
          <w:iCs/>
          <w:lang w:val="en-US"/>
        </w:rPr>
        <w:t>Insolvency Law Bulletin</w:t>
      </w:r>
      <w:r w:rsidR="009D30CC" w:rsidRPr="007C1481">
        <w:rPr>
          <w:rFonts w:cstheme="minorHAnsi"/>
          <w:lang w:val="en-US"/>
        </w:rPr>
        <w:t xml:space="preserve"> forthcoming</w:t>
      </w:r>
      <w:r w:rsidR="009D30CC">
        <w:rPr>
          <w:rFonts w:cstheme="minorHAnsi"/>
          <w:lang w:val="en-US"/>
        </w:rPr>
        <w:t>.</w:t>
      </w:r>
      <w:r w:rsidR="009D30CC" w:rsidRPr="007C1481">
        <w:rPr>
          <w:rStyle w:val="FootnoteReference"/>
          <w:rFonts w:cstheme="minorHAnsi"/>
          <w:vertAlign w:val="baseline"/>
        </w:rPr>
        <w:t>)</w:t>
      </w:r>
      <w:r w:rsidR="009D30CC" w:rsidRPr="007C1481">
        <w:rPr>
          <w:rFonts w:cstheme="minorHAnsi"/>
        </w:rPr>
        <w:t xml:space="preserve">  </w:t>
      </w:r>
    </w:p>
  </w:footnote>
  <w:footnote w:id="69">
    <w:p w14:paraId="64C8DC16" w14:textId="4A69DB3F" w:rsidR="000E11D6" w:rsidRPr="009342A3" w:rsidRDefault="000E11D6" w:rsidP="00DB2D05">
      <w:pPr>
        <w:pStyle w:val="FootnoteText"/>
        <w:rPr>
          <w:rFonts w:cstheme="minorHAnsi"/>
        </w:rPr>
      </w:pPr>
      <w:r w:rsidRPr="007C1481">
        <w:rPr>
          <w:rStyle w:val="FootnoteReference"/>
          <w:rFonts w:cstheme="minorHAnsi"/>
        </w:rPr>
        <w:footnoteRef/>
      </w:r>
      <w:r w:rsidRPr="007C1481">
        <w:rPr>
          <w:rFonts w:cstheme="minorHAnsi"/>
        </w:rPr>
        <w:t xml:space="preserve"> </w:t>
      </w:r>
      <w:r w:rsidRPr="009342A3">
        <w:rPr>
          <w:rFonts w:cstheme="minorHAnsi"/>
          <w:shd w:val="clear" w:color="auto" w:fill="FFFFFF"/>
        </w:rPr>
        <w:t xml:space="preserve">The network seeks to provide judicial thought leadership, develop best practices and facilitate “communication and cooperation amongst national courts in cross-border insolvency and restructuring matters.” </w:t>
      </w:r>
      <w:hyperlink r:id="rId23" w:history="1">
        <w:r w:rsidRPr="009342A3">
          <w:rPr>
            <w:rStyle w:val="Hyperlink"/>
            <w:rFonts w:cstheme="minorHAnsi"/>
            <w:color w:val="auto"/>
          </w:rPr>
          <w:t>https://www.supremecourt.gov.sg/news/media-releases/judges-of-the-worldwide-judicial-insolvency-network-to-meet-in-new-york-city-this-september</w:t>
        </w:r>
      </w:hyperlink>
      <w:r w:rsidRPr="009342A3">
        <w:rPr>
          <w:rFonts w:cstheme="minorHAnsi"/>
        </w:rPr>
        <w:t xml:space="preserve">. </w:t>
      </w:r>
    </w:p>
  </w:footnote>
  <w:footnote w:id="70">
    <w:p w14:paraId="597FB7D7" w14:textId="77777777" w:rsidR="000E11D6" w:rsidRPr="009342A3" w:rsidRDefault="000E11D6" w:rsidP="004755D0">
      <w:pPr>
        <w:pStyle w:val="FootnoteText"/>
        <w:ind w:left="284" w:hanging="284"/>
        <w:rPr>
          <w:rFonts w:cstheme="minorHAnsi"/>
        </w:rPr>
      </w:pPr>
      <w:r w:rsidRPr="009342A3">
        <w:rPr>
          <w:rStyle w:val="FootnoteReference"/>
          <w:rFonts w:cstheme="minorHAnsi"/>
        </w:rPr>
        <w:footnoteRef/>
      </w:r>
      <w:r w:rsidRPr="009342A3">
        <w:rPr>
          <w:rFonts w:cstheme="minorHAnsi"/>
        </w:rPr>
        <w:t xml:space="preserve"> </w:t>
      </w:r>
      <w:hyperlink r:id="rId24" w:history="1">
        <w:r w:rsidRPr="009342A3">
          <w:rPr>
            <w:rStyle w:val="Hyperlink"/>
            <w:rFonts w:cstheme="minorHAnsi"/>
            <w:color w:val="auto"/>
          </w:rPr>
          <w:t>http://www.jin-global.org/jin-guidelines.html</w:t>
        </w:r>
      </w:hyperlink>
      <w:r w:rsidRPr="009342A3">
        <w:rPr>
          <w:rStyle w:val="Hyperlink"/>
          <w:rFonts w:cstheme="minorHAnsi"/>
          <w:color w:val="auto"/>
        </w:rPr>
        <w:t xml:space="preserve">. </w:t>
      </w:r>
      <w:r w:rsidRPr="009342A3">
        <w:rPr>
          <w:rFonts w:cstheme="minorHAnsi"/>
          <w:lang w:val="en-US"/>
        </w:rPr>
        <w:t xml:space="preserve">The JIN Guidelines have been adopted by the NSW SC. </w:t>
      </w:r>
    </w:p>
  </w:footnote>
  <w:footnote w:id="71">
    <w:p w14:paraId="7D554E1D" w14:textId="41F5D135" w:rsidR="009342A3" w:rsidRPr="009342A3" w:rsidRDefault="009342A3">
      <w:pPr>
        <w:pStyle w:val="FootnoteText"/>
        <w:rPr>
          <w:rFonts w:cstheme="minorHAnsi"/>
        </w:rPr>
      </w:pPr>
      <w:r w:rsidRPr="009342A3">
        <w:rPr>
          <w:rStyle w:val="FootnoteReference"/>
        </w:rPr>
        <w:footnoteRef/>
      </w:r>
      <w:r w:rsidRPr="009342A3">
        <w:t xml:space="preserve"> </w:t>
      </w:r>
      <w:r>
        <w:rPr>
          <w:rFonts w:cstheme="minorHAnsi"/>
        </w:rPr>
        <w:t>V</w:t>
      </w:r>
      <w:r w:rsidRPr="009342A3">
        <w:rPr>
          <w:rFonts w:cstheme="minorHAnsi"/>
        </w:rPr>
        <w:t xml:space="preserve">ersions have </w:t>
      </w:r>
      <w:r>
        <w:rPr>
          <w:rFonts w:cstheme="minorHAnsi"/>
        </w:rPr>
        <w:t xml:space="preserve">also </w:t>
      </w:r>
      <w:r w:rsidRPr="009342A3">
        <w:rPr>
          <w:rFonts w:cstheme="minorHAnsi"/>
        </w:rPr>
        <w:t>been adopted by courts in Bermuda; Cayman Islands; Eastern Caribbean; England and Wales; Singapore; South Korea (Seoul); and the US (Delaware, Florida and Southern District New York Bankruptcy Courts).</w:t>
      </w:r>
    </w:p>
  </w:footnote>
  <w:footnote w:id="72">
    <w:p w14:paraId="16F2A6F1" w14:textId="2FF78315" w:rsidR="006C4D03" w:rsidRPr="007C1481" w:rsidRDefault="006C4D03">
      <w:pPr>
        <w:pStyle w:val="FootnoteText"/>
      </w:pPr>
      <w:r w:rsidRPr="007C1481">
        <w:rPr>
          <w:rStyle w:val="FootnoteReference"/>
        </w:rPr>
        <w:footnoteRef/>
      </w:r>
      <w:r w:rsidRPr="007C1481">
        <w:t xml:space="preserve"> </w:t>
      </w:r>
      <w:r w:rsidR="00AD3FA4" w:rsidRPr="007C1481">
        <w:rPr>
          <w:rFonts w:cstheme="minorHAnsi"/>
          <w:i/>
          <w:lang w:val="en-US"/>
        </w:rPr>
        <w:t>Practice Note SC Eq 6 - Cross Border Insolvency: Cooperation with Foreign Courts or Foreign Representatives</w:t>
      </w:r>
      <w:r w:rsidR="00AD3FA4" w:rsidRPr="007C1481">
        <w:rPr>
          <w:rFonts w:cstheme="minorHAnsi"/>
          <w:lang w:val="en-US"/>
        </w:rPr>
        <w:t xml:space="preserve">, 15 September 2017 </w:t>
      </w:r>
      <w:hyperlink r:id="rId25" w:history="1">
        <w:r w:rsidR="00AD3FA4" w:rsidRPr="007C1481">
          <w:rPr>
            <w:rStyle w:val="Hyperlink"/>
            <w:rFonts w:cstheme="minorHAnsi"/>
            <w:color w:val="000000" w:themeColor="text1"/>
            <w:lang w:val="en-US"/>
          </w:rPr>
          <w:t>www.practicenotes.justice.nsw.gov.au/practice_notes/nswsc_pc.nsf/a15f50afb1aa22a9ca2570ed000a2b08/4f96eb1106eb1b61ca25819f0002a5dc/$FILE/2017_09_15_Practice%20Note%20SC%20EQ%206.pdf</w:t>
        </w:r>
      </w:hyperlink>
      <w:r w:rsidR="00AD3FA4" w:rsidRPr="007C1481">
        <w:rPr>
          <w:rFonts w:cstheme="minorHAnsi"/>
          <w:lang w:val="en-US"/>
        </w:rPr>
        <w:t>.</w:t>
      </w:r>
    </w:p>
  </w:footnote>
  <w:footnote w:id="73">
    <w:p w14:paraId="7DF14DFC" w14:textId="77777777" w:rsidR="000E11D6" w:rsidRPr="007C1481" w:rsidRDefault="000E11D6" w:rsidP="007268DD">
      <w:pPr>
        <w:pStyle w:val="FootnoteText"/>
        <w:rPr>
          <w:rFonts w:cstheme="minorHAnsi"/>
        </w:rPr>
      </w:pPr>
      <w:r w:rsidRPr="007C1481">
        <w:rPr>
          <w:rStyle w:val="FootnoteReference"/>
          <w:rFonts w:cstheme="minorHAnsi"/>
        </w:rPr>
        <w:footnoteRef/>
      </w:r>
      <w:r w:rsidRPr="007C1481">
        <w:rPr>
          <w:rFonts w:cstheme="minorHAnsi"/>
        </w:rPr>
        <w:t xml:space="preserve"> </w:t>
      </w:r>
      <w:hyperlink r:id="rId26" w:history="1">
        <w:r w:rsidRPr="007C1481">
          <w:rPr>
            <w:rStyle w:val="Hyperlink"/>
            <w:rFonts w:cstheme="minorHAnsi"/>
            <w:color w:val="auto"/>
          </w:rPr>
          <w:t>https://uncitral.un.org/sites/uncitral.un.org/files/media-documents/uncitral/en/judicial-perspective-2013-e.pdf</w:t>
        </w:r>
      </w:hyperlink>
      <w:r w:rsidRPr="007C1481">
        <w:rPr>
          <w:rFonts w:cstheme="minorHAnsi"/>
        </w:rPr>
        <w:t xml:space="preserve"> </w:t>
      </w:r>
    </w:p>
  </w:footnote>
  <w:footnote w:id="74">
    <w:p w14:paraId="2D49ADB1" w14:textId="77777777" w:rsidR="000E11D6" w:rsidRPr="007C1481" w:rsidRDefault="000E11D6" w:rsidP="007268DD">
      <w:pPr>
        <w:pStyle w:val="FootnoteText"/>
        <w:rPr>
          <w:rFonts w:cstheme="minorHAnsi"/>
        </w:rPr>
      </w:pPr>
      <w:r w:rsidRPr="007C1481">
        <w:rPr>
          <w:rStyle w:val="FootnoteReference"/>
          <w:rFonts w:cstheme="minorHAnsi"/>
        </w:rPr>
        <w:footnoteRef/>
      </w:r>
      <w:r w:rsidRPr="007C1481">
        <w:rPr>
          <w:rFonts w:cstheme="minorHAnsi"/>
        </w:rPr>
        <w:t xml:space="preserve"> It refers to the underpinning four principles of access; recognition; relief; and cooperation and coordination. </w:t>
      </w:r>
    </w:p>
  </w:footnote>
  <w:footnote w:id="75">
    <w:p w14:paraId="5B18929B" w14:textId="77777777" w:rsidR="000E11D6" w:rsidRPr="007C1481" w:rsidRDefault="000E11D6" w:rsidP="00313AC1">
      <w:pPr>
        <w:pStyle w:val="FootnoteText"/>
        <w:rPr>
          <w:rFonts w:cstheme="minorHAnsi"/>
        </w:rPr>
      </w:pPr>
      <w:r w:rsidRPr="007C1481">
        <w:rPr>
          <w:rStyle w:val="FootnoteReference"/>
          <w:rFonts w:cstheme="minorHAnsi"/>
        </w:rPr>
        <w:footnoteRef/>
      </w:r>
      <w:r w:rsidRPr="007C1481">
        <w:rPr>
          <w:rFonts w:cstheme="minorHAnsi"/>
        </w:rPr>
        <w:t xml:space="preserve"> </w:t>
      </w:r>
      <w:r w:rsidRPr="007C1481">
        <w:rPr>
          <w:rFonts w:cstheme="minorHAnsi"/>
          <w:i/>
          <w:iCs/>
        </w:rPr>
        <w:t xml:space="preserve">Rubin v </w:t>
      </w:r>
      <w:proofErr w:type="spellStart"/>
      <w:r w:rsidRPr="007C1481">
        <w:rPr>
          <w:rFonts w:cstheme="minorHAnsi"/>
          <w:i/>
          <w:iCs/>
        </w:rPr>
        <w:t>Eurofinance</w:t>
      </w:r>
      <w:proofErr w:type="spellEnd"/>
      <w:r w:rsidRPr="007C1481">
        <w:rPr>
          <w:rFonts w:cstheme="minorHAnsi"/>
          <w:i/>
          <w:iCs/>
        </w:rPr>
        <w:t xml:space="preserve"> SA</w:t>
      </w:r>
      <w:r w:rsidRPr="007C1481">
        <w:rPr>
          <w:rFonts w:cstheme="minorHAnsi"/>
        </w:rPr>
        <w:t xml:space="preserve"> [2012] UKSC 46, [2013] 1 AC 236</w:t>
      </w:r>
    </w:p>
  </w:footnote>
  <w:footnote w:id="76">
    <w:p w14:paraId="58BD24F7" w14:textId="77777777" w:rsidR="000E11D6" w:rsidRPr="007C1481" w:rsidRDefault="000E11D6" w:rsidP="00313AC1">
      <w:pPr>
        <w:pStyle w:val="FootnoteText"/>
        <w:rPr>
          <w:rFonts w:cstheme="minorHAnsi"/>
        </w:rPr>
      </w:pPr>
      <w:r w:rsidRPr="007C1481">
        <w:rPr>
          <w:rStyle w:val="FootnoteReference"/>
          <w:rFonts w:cstheme="minorHAnsi"/>
        </w:rPr>
        <w:footnoteRef/>
      </w:r>
      <w:r w:rsidRPr="007C1481">
        <w:rPr>
          <w:rFonts w:cstheme="minorHAnsi"/>
        </w:rPr>
        <w:t xml:space="preserve"> S</w:t>
      </w:r>
      <w:r w:rsidRPr="007C1481">
        <w:rPr>
          <w:rFonts w:cstheme="minorHAnsi"/>
          <w:shd w:val="clear" w:color="auto" w:fill="FFFFFF"/>
        </w:rPr>
        <w:t xml:space="preserve">ee </w:t>
      </w:r>
      <w:hyperlink r:id="rId27" w:history="1">
        <w:r w:rsidRPr="007C1481">
          <w:rPr>
            <w:rStyle w:val="Hyperlink"/>
            <w:rFonts w:cstheme="minorHAnsi"/>
            <w:color w:val="auto"/>
            <w:shd w:val="clear" w:color="auto" w:fill="FFFFFF"/>
          </w:rPr>
          <w:t>http://www.unis.unvienna.org/unis/en/pressrels/2019/unisl277.html</w:t>
        </w:r>
      </w:hyperlink>
    </w:p>
  </w:footnote>
  <w:footnote w:id="77">
    <w:p w14:paraId="5AB102E2" w14:textId="77777777" w:rsidR="000E11D6" w:rsidRPr="007C1481" w:rsidRDefault="000E11D6" w:rsidP="00306A05">
      <w:pPr>
        <w:pStyle w:val="FootnoteText"/>
        <w:rPr>
          <w:rFonts w:cstheme="minorHAnsi"/>
        </w:rPr>
      </w:pPr>
      <w:r w:rsidRPr="007C1481">
        <w:rPr>
          <w:rStyle w:val="FootnoteReference"/>
          <w:rFonts w:cstheme="minorHAnsi"/>
        </w:rPr>
        <w:footnoteRef/>
      </w:r>
      <w:r w:rsidRPr="007C1481">
        <w:rPr>
          <w:rFonts w:cstheme="minorHAnsi"/>
        </w:rPr>
        <w:t xml:space="preserve"> For example, the Article 20 mandatory stay following automatic recognition of the foreign insolvency proceeding and the related appointment of the foreign insolvency representative in the debtor’s COMI refers to local relief in terms of the enacting state’s insolvency laws: Article 20(2).</w:t>
      </w:r>
    </w:p>
  </w:footnote>
  <w:footnote w:id="78">
    <w:p w14:paraId="018BB52D" w14:textId="395FD986" w:rsidR="000E11D6" w:rsidRPr="007C1481" w:rsidRDefault="000E11D6" w:rsidP="000776A3">
      <w:pPr>
        <w:autoSpaceDE w:val="0"/>
        <w:autoSpaceDN w:val="0"/>
        <w:adjustRightInd w:val="0"/>
        <w:spacing w:after="0" w:line="240" w:lineRule="auto"/>
        <w:rPr>
          <w:rFonts w:cstheme="minorHAnsi"/>
          <w:sz w:val="20"/>
          <w:szCs w:val="20"/>
        </w:rPr>
      </w:pPr>
      <w:r w:rsidRPr="007C1481">
        <w:rPr>
          <w:rStyle w:val="FootnoteReference"/>
          <w:rFonts w:cstheme="minorHAnsi"/>
          <w:sz w:val="20"/>
          <w:szCs w:val="20"/>
        </w:rPr>
        <w:footnoteRef/>
      </w:r>
      <w:r w:rsidRPr="007C1481">
        <w:rPr>
          <w:rFonts w:cstheme="minorHAnsi"/>
          <w:sz w:val="20"/>
          <w:szCs w:val="20"/>
        </w:rPr>
        <w:t xml:space="preserve"> Article 14 Grounds to refuse recognition </w:t>
      </w:r>
      <w:r w:rsidRPr="007C1481">
        <w:rPr>
          <w:rFonts w:cstheme="minorHAnsi"/>
          <w:sz w:val="20"/>
          <w:szCs w:val="20"/>
          <w:lang w:val="en-US"/>
        </w:rPr>
        <w:t>recognition and enforcement of an insolvency-related judgment: (g)(iii) “The court exercised jurisdiction on a basis on which a court in this State could have exercised jurisdiction”.</w:t>
      </w:r>
    </w:p>
  </w:footnote>
  <w:footnote w:id="79">
    <w:p w14:paraId="30055C15" w14:textId="77777777" w:rsidR="000E11D6" w:rsidRPr="007C1481" w:rsidRDefault="000E11D6" w:rsidP="0044648B">
      <w:pPr>
        <w:pStyle w:val="FootnoteText"/>
        <w:rPr>
          <w:rFonts w:cstheme="minorHAnsi"/>
        </w:rPr>
      </w:pPr>
      <w:r w:rsidRPr="007C1481">
        <w:rPr>
          <w:rStyle w:val="FootnoteReference"/>
          <w:rFonts w:cstheme="minorHAnsi"/>
        </w:rPr>
        <w:footnoteRef/>
      </w:r>
      <w:r w:rsidRPr="007C1481">
        <w:rPr>
          <w:rFonts w:cstheme="minorHAnsi"/>
        </w:rPr>
        <w:t xml:space="preserve"> Rosalind Mason and John Martin, “Conflict and Consistency in Cross border Insolvency Judgments”, paper presented at the UNCITRAL 50th Anniversary Congress (2017): </w:t>
      </w:r>
      <w:hyperlink r:id="rId28" w:history="1">
        <w:r w:rsidRPr="007C1481">
          <w:rPr>
            <w:rStyle w:val="Hyperlink"/>
            <w:rFonts w:cstheme="minorHAnsi"/>
            <w:color w:val="auto"/>
          </w:rPr>
          <w:t>http://www.uncitral.org/pdf/english/congress/Papers_for_Programme/46-MASON_and_MARTIN-Conflict_and_Consistency_in_Cross_border_Insolvency_Judgments.pdf</w:t>
        </w:r>
      </w:hyperlink>
      <w:r w:rsidRPr="007C1481">
        <w:rPr>
          <w:rFonts w:cstheme="minorHAnsi"/>
        </w:rPr>
        <w:t xml:space="preserve"> </w:t>
      </w:r>
    </w:p>
  </w:footnote>
  <w:footnote w:id="80">
    <w:p w14:paraId="6991239C" w14:textId="41BE2315" w:rsidR="000E11D6" w:rsidRPr="007C1481" w:rsidRDefault="000E11D6" w:rsidP="00052925">
      <w:pPr>
        <w:pStyle w:val="NoSpacing"/>
        <w:rPr>
          <w:rFonts w:cstheme="minorHAnsi"/>
          <w:sz w:val="20"/>
          <w:szCs w:val="20"/>
        </w:rPr>
      </w:pPr>
      <w:r w:rsidRPr="007C1481">
        <w:rPr>
          <w:rStyle w:val="FootnoteReference"/>
          <w:rFonts w:cstheme="minorHAnsi"/>
          <w:sz w:val="20"/>
          <w:szCs w:val="20"/>
        </w:rPr>
        <w:footnoteRef/>
      </w:r>
      <w:r w:rsidRPr="007C1481">
        <w:rPr>
          <w:rFonts w:cstheme="minorHAnsi"/>
          <w:sz w:val="20"/>
          <w:szCs w:val="20"/>
        </w:rPr>
        <w:t xml:space="preserve"> </w:t>
      </w:r>
      <w:r w:rsidRPr="007C1481">
        <w:rPr>
          <w:rFonts w:eastAsia="Times New Roman" w:cstheme="minorHAnsi"/>
          <w:sz w:val="20"/>
          <w:szCs w:val="20"/>
          <w:lang w:eastAsia="en-AU"/>
        </w:rPr>
        <w:t xml:space="preserve">The proceedings in </w:t>
      </w:r>
      <w:r w:rsidRPr="007C1481">
        <w:rPr>
          <w:rFonts w:eastAsia="Times New Roman" w:cstheme="minorHAnsi"/>
          <w:i/>
          <w:iCs/>
          <w:sz w:val="20"/>
          <w:szCs w:val="20"/>
          <w:lang w:eastAsia="en-AU"/>
        </w:rPr>
        <w:t>Zetta Jet</w:t>
      </w:r>
      <w:r w:rsidRPr="007C1481">
        <w:rPr>
          <w:rFonts w:eastAsia="Times New Roman" w:cstheme="minorHAnsi"/>
          <w:sz w:val="20"/>
          <w:szCs w:val="20"/>
          <w:lang w:eastAsia="en-AU"/>
        </w:rPr>
        <w:t xml:space="preserve"> are an instance of an asset being pursued overseas by a US trustee.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429B9"/>
    <w:multiLevelType w:val="hybridMultilevel"/>
    <w:tmpl w:val="9244A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BC4A02"/>
    <w:multiLevelType w:val="multilevel"/>
    <w:tmpl w:val="F18663A6"/>
    <w:lvl w:ilvl="0">
      <w:start w:val="1"/>
      <w:numFmt w:val="decimal"/>
      <w:lvlText w:val="%1."/>
      <w:lvlJc w:val="left"/>
      <w:pPr>
        <w:ind w:left="720" w:hanging="360"/>
      </w:pPr>
      <w:rPr>
        <w:rFonts w:hint="default"/>
        <w:sz w:val="28"/>
      </w:rPr>
    </w:lvl>
    <w:lvl w:ilvl="1">
      <w:start w:val="1"/>
      <w:numFmt w:val="decimal"/>
      <w:lvlText w:val="%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2" w15:restartNumberingAfterBreak="0">
    <w:nsid w:val="0DAF294D"/>
    <w:multiLevelType w:val="hybridMultilevel"/>
    <w:tmpl w:val="2EFE45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332327"/>
    <w:multiLevelType w:val="hybridMultilevel"/>
    <w:tmpl w:val="F6162A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104296"/>
    <w:multiLevelType w:val="multilevel"/>
    <w:tmpl w:val="66D8E042"/>
    <w:lvl w:ilvl="0">
      <w:start w:val="1"/>
      <w:numFmt w:val="bullet"/>
      <w:lvlText w:val=""/>
      <w:lvlJc w:val="left"/>
      <w:pPr>
        <w:ind w:left="1429" w:hanging="709"/>
      </w:pPr>
      <w:rPr>
        <w:rFonts w:ascii="Symbol" w:hAnsi="Symbol" w:hint="default"/>
      </w:rPr>
    </w:lvl>
    <w:lvl w:ilvl="1">
      <w:start w:val="1"/>
      <w:numFmt w:val="lowerRoman"/>
      <w:lvlText w:val="(%2)"/>
      <w:lvlJc w:val="left"/>
      <w:pPr>
        <w:ind w:left="2138" w:hanging="709"/>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14:ligatures w14:val="none"/>
        <w14:numForm w14:val="default"/>
        <w14:numSpacing w14:val="default"/>
        <w14:stylisticSets/>
        <w14:cntxtAlts w14:val="0"/>
      </w:rPr>
    </w:lvl>
    <w:lvl w:ilvl="2">
      <w:start w:val="1"/>
      <w:numFmt w:val="none"/>
      <w:lvlText w:val=""/>
      <w:lvlJc w:val="left"/>
      <w:pPr>
        <w:ind w:left="720" w:firstLine="0"/>
      </w:pPr>
    </w:lvl>
    <w:lvl w:ilvl="3">
      <w:start w:val="1"/>
      <w:numFmt w:val="none"/>
      <w:lvlText w:val=""/>
      <w:lvlJc w:val="left"/>
      <w:pPr>
        <w:tabs>
          <w:tab w:val="num" w:pos="3555"/>
        </w:tabs>
        <w:ind w:left="720" w:firstLine="0"/>
      </w:pPr>
    </w:lvl>
    <w:lvl w:ilvl="4">
      <w:start w:val="1"/>
      <w:numFmt w:val="none"/>
      <w:lvlText w:val=""/>
      <w:lvlJc w:val="left"/>
      <w:pPr>
        <w:tabs>
          <w:tab w:val="num" w:pos="4264"/>
        </w:tabs>
        <w:ind w:left="720" w:firstLine="0"/>
      </w:pPr>
    </w:lvl>
    <w:lvl w:ilvl="5">
      <w:start w:val="1"/>
      <w:numFmt w:val="none"/>
      <w:lvlText w:val=""/>
      <w:lvlJc w:val="left"/>
      <w:pPr>
        <w:ind w:left="720" w:firstLine="0"/>
      </w:pPr>
    </w:lvl>
    <w:lvl w:ilvl="6">
      <w:start w:val="1"/>
      <w:numFmt w:val="none"/>
      <w:lvlText w:val=""/>
      <w:lvlJc w:val="left"/>
      <w:pPr>
        <w:ind w:left="720" w:firstLine="0"/>
      </w:pPr>
    </w:lvl>
    <w:lvl w:ilvl="7">
      <w:start w:val="1"/>
      <w:numFmt w:val="none"/>
      <w:lvlText w:val=""/>
      <w:lvlJc w:val="left"/>
      <w:pPr>
        <w:ind w:left="720" w:firstLine="0"/>
      </w:pPr>
    </w:lvl>
    <w:lvl w:ilvl="8">
      <w:start w:val="1"/>
      <w:numFmt w:val="none"/>
      <w:lvlText w:val=""/>
      <w:lvlJc w:val="left"/>
      <w:pPr>
        <w:ind w:left="720" w:firstLine="0"/>
      </w:pPr>
    </w:lvl>
  </w:abstractNum>
  <w:abstractNum w:abstractNumId="5" w15:restartNumberingAfterBreak="0">
    <w:nsid w:val="20796ED4"/>
    <w:multiLevelType w:val="hybridMultilevel"/>
    <w:tmpl w:val="1032A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3556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E45736"/>
    <w:multiLevelType w:val="hybridMultilevel"/>
    <w:tmpl w:val="E2125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8E26DF"/>
    <w:multiLevelType w:val="hybridMultilevel"/>
    <w:tmpl w:val="C046CC84"/>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9" w15:restartNumberingAfterBreak="0">
    <w:nsid w:val="32F94402"/>
    <w:multiLevelType w:val="hybridMultilevel"/>
    <w:tmpl w:val="3E48BF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AE0F0A"/>
    <w:multiLevelType w:val="hybridMultilevel"/>
    <w:tmpl w:val="579691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7A27D04"/>
    <w:multiLevelType w:val="hybridMultilevel"/>
    <w:tmpl w:val="CB9A7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4D12C8"/>
    <w:multiLevelType w:val="hybridMultilevel"/>
    <w:tmpl w:val="2B8A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CC4CE6"/>
    <w:multiLevelType w:val="hybridMultilevel"/>
    <w:tmpl w:val="9ACAA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ED5A4D"/>
    <w:multiLevelType w:val="hybridMultilevel"/>
    <w:tmpl w:val="08BA4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35285C"/>
    <w:multiLevelType w:val="hybridMultilevel"/>
    <w:tmpl w:val="0B2E4BBC"/>
    <w:lvl w:ilvl="0" w:tplc="FE98AF32">
      <w:start w:val="1"/>
      <w:numFmt w:val="bullet"/>
      <w:lvlText w:val="•"/>
      <w:lvlJc w:val="left"/>
      <w:pPr>
        <w:tabs>
          <w:tab w:val="num" w:pos="720"/>
        </w:tabs>
        <w:ind w:left="720" w:hanging="360"/>
      </w:pPr>
      <w:rPr>
        <w:rFonts w:ascii="Arial" w:hAnsi="Arial" w:hint="default"/>
      </w:rPr>
    </w:lvl>
    <w:lvl w:ilvl="1" w:tplc="B3A8D41C">
      <w:numFmt w:val="bullet"/>
      <w:lvlText w:val="•"/>
      <w:lvlJc w:val="left"/>
      <w:pPr>
        <w:tabs>
          <w:tab w:val="num" w:pos="1440"/>
        </w:tabs>
        <w:ind w:left="1440" w:hanging="360"/>
      </w:pPr>
      <w:rPr>
        <w:rFonts w:ascii="Arial" w:hAnsi="Arial" w:hint="default"/>
      </w:rPr>
    </w:lvl>
    <w:lvl w:ilvl="2" w:tplc="BA807178" w:tentative="1">
      <w:start w:val="1"/>
      <w:numFmt w:val="bullet"/>
      <w:lvlText w:val="•"/>
      <w:lvlJc w:val="left"/>
      <w:pPr>
        <w:tabs>
          <w:tab w:val="num" w:pos="2160"/>
        </w:tabs>
        <w:ind w:left="2160" w:hanging="360"/>
      </w:pPr>
      <w:rPr>
        <w:rFonts w:ascii="Arial" w:hAnsi="Arial" w:hint="default"/>
      </w:rPr>
    </w:lvl>
    <w:lvl w:ilvl="3" w:tplc="61D0D5DA" w:tentative="1">
      <w:start w:val="1"/>
      <w:numFmt w:val="bullet"/>
      <w:lvlText w:val="•"/>
      <w:lvlJc w:val="left"/>
      <w:pPr>
        <w:tabs>
          <w:tab w:val="num" w:pos="2880"/>
        </w:tabs>
        <w:ind w:left="2880" w:hanging="360"/>
      </w:pPr>
      <w:rPr>
        <w:rFonts w:ascii="Arial" w:hAnsi="Arial" w:hint="default"/>
      </w:rPr>
    </w:lvl>
    <w:lvl w:ilvl="4" w:tplc="CA42EF06" w:tentative="1">
      <w:start w:val="1"/>
      <w:numFmt w:val="bullet"/>
      <w:lvlText w:val="•"/>
      <w:lvlJc w:val="left"/>
      <w:pPr>
        <w:tabs>
          <w:tab w:val="num" w:pos="3600"/>
        </w:tabs>
        <w:ind w:left="3600" w:hanging="360"/>
      </w:pPr>
      <w:rPr>
        <w:rFonts w:ascii="Arial" w:hAnsi="Arial" w:hint="default"/>
      </w:rPr>
    </w:lvl>
    <w:lvl w:ilvl="5" w:tplc="3E5EE68C" w:tentative="1">
      <w:start w:val="1"/>
      <w:numFmt w:val="bullet"/>
      <w:lvlText w:val="•"/>
      <w:lvlJc w:val="left"/>
      <w:pPr>
        <w:tabs>
          <w:tab w:val="num" w:pos="4320"/>
        </w:tabs>
        <w:ind w:left="4320" w:hanging="360"/>
      </w:pPr>
      <w:rPr>
        <w:rFonts w:ascii="Arial" w:hAnsi="Arial" w:hint="default"/>
      </w:rPr>
    </w:lvl>
    <w:lvl w:ilvl="6" w:tplc="346EAFB8" w:tentative="1">
      <w:start w:val="1"/>
      <w:numFmt w:val="bullet"/>
      <w:lvlText w:val="•"/>
      <w:lvlJc w:val="left"/>
      <w:pPr>
        <w:tabs>
          <w:tab w:val="num" w:pos="5040"/>
        </w:tabs>
        <w:ind w:left="5040" w:hanging="360"/>
      </w:pPr>
      <w:rPr>
        <w:rFonts w:ascii="Arial" w:hAnsi="Arial" w:hint="default"/>
      </w:rPr>
    </w:lvl>
    <w:lvl w:ilvl="7" w:tplc="AFFE508C" w:tentative="1">
      <w:start w:val="1"/>
      <w:numFmt w:val="bullet"/>
      <w:lvlText w:val="•"/>
      <w:lvlJc w:val="left"/>
      <w:pPr>
        <w:tabs>
          <w:tab w:val="num" w:pos="5760"/>
        </w:tabs>
        <w:ind w:left="5760" w:hanging="360"/>
      </w:pPr>
      <w:rPr>
        <w:rFonts w:ascii="Arial" w:hAnsi="Arial" w:hint="default"/>
      </w:rPr>
    </w:lvl>
    <w:lvl w:ilvl="8" w:tplc="A4A49A2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F8F74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3400A50"/>
    <w:multiLevelType w:val="hybridMultilevel"/>
    <w:tmpl w:val="A7281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8E043BB"/>
    <w:multiLevelType w:val="hybridMultilevel"/>
    <w:tmpl w:val="4064B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8FC1512"/>
    <w:multiLevelType w:val="hybridMultilevel"/>
    <w:tmpl w:val="F3EC6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F6068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1F2A41"/>
    <w:multiLevelType w:val="hybridMultilevel"/>
    <w:tmpl w:val="58726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A17EF7"/>
    <w:multiLevelType w:val="hybridMultilevel"/>
    <w:tmpl w:val="0D0A9A1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EE543C8"/>
    <w:multiLevelType w:val="hybridMultilevel"/>
    <w:tmpl w:val="0FCC7C90"/>
    <w:lvl w:ilvl="0" w:tplc="FF0CFB9A">
      <w:start w:val="1"/>
      <w:numFmt w:val="bullet"/>
      <w:lvlText w:val="•"/>
      <w:lvlJc w:val="left"/>
      <w:pPr>
        <w:tabs>
          <w:tab w:val="num" w:pos="720"/>
        </w:tabs>
        <w:ind w:left="720" w:hanging="360"/>
      </w:pPr>
      <w:rPr>
        <w:rFonts w:ascii="Arial" w:hAnsi="Arial" w:hint="default"/>
      </w:rPr>
    </w:lvl>
    <w:lvl w:ilvl="1" w:tplc="DABACB5C">
      <w:numFmt w:val="bullet"/>
      <w:lvlText w:val="•"/>
      <w:lvlJc w:val="left"/>
      <w:pPr>
        <w:tabs>
          <w:tab w:val="num" w:pos="1440"/>
        </w:tabs>
        <w:ind w:left="1440" w:hanging="360"/>
      </w:pPr>
      <w:rPr>
        <w:rFonts w:ascii="Arial" w:hAnsi="Arial" w:hint="default"/>
      </w:rPr>
    </w:lvl>
    <w:lvl w:ilvl="2" w:tplc="33FE2144" w:tentative="1">
      <w:start w:val="1"/>
      <w:numFmt w:val="bullet"/>
      <w:lvlText w:val="•"/>
      <w:lvlJc w:val="left"/>
      <w:pPr>
        <w:tabs>
          <w:tab w:val="num" w:pos="2160"/>
        </w:tabs>
        <w:ind w:left="2160" w:hanging="360"/>
      </w:pPr>
      <w:rPr>
        <w:rFonts w:ascii="Arial" w:hAnsi="Arial" w:hint="default"/>
      </w:rPr>
    </w:lvl>
    <w:lvl w:ilvl="3" w:tplc="9670E532" w:tentative="1">
      <w:start w:val="1"/>
      <w:numFmt w:val="bullet"/>
      <w:lvlText w:val="•"/>
      <w:lvlJc w:val="left"/>
      <w:pPr>
        <w:tabs>
          <w:tab w:val="num" w:pos="2880"/>
        </w:tabs>
        <w:ind w:left="2880" w:hanging="360"/>
      </w:pPr>
      <w:rPr>
        <w:rFonts w:ascii="Arial" w:hAnsi="Arial" w:hint="default"/>
      </w:rPr>
    </w:lvl>
    <w:lvl w:ilvl="4" w:tplc="724E7F84" w:tentative="1">
      <w:start w:val="1"/>
      <w:numFmt w:val="bullet"/>
      <w:lvlText w:val="•"/>
      <w:lvlJc w:val="left"/>
      <w:pPr>
        <w:tabs>
          <w:tab w:val="num" w:pos="3600"/>
        </w:tabs>
        <w:ind w:left="3600" w:hanging="360"/>
      </w:pPr>
      <w:rPr>
        <w:rFonts w:ascii="Arial" w:hAnsi="Arial" w:hint="default"/>
      </w:rPr>
    </w:lvl>
    <w:lvl w:ilvl="5" w:tplc="53BCB956" w:tentative="1">
      <w:start w:val="1"/>
      <w:numFmt w:val="bullet"/>
      <w:lvlText w:val="•"/>
      <w:lvlJc w:val="left"/>
      <w:pPr>
        <w:tabs>
          <w:tab w:val="num" w:pos="4320"/>
        </w:tabs>
        <w:ind w:left="4320" w:hanging="360"/>
      </w:pPr>
      <w:rPr>
        <w:rFonts w:ascii="Arial" w:hAnsi="Arial" w:hint="default"/>
      </w:rPr>
    </w:lvl>
    <w:lvl w:ilvl="6" w:tplc="CB389A60" w:tentative="1">
      <w:start w:val="1"/>
      <w:numFmt w:val="bullet"/>
      <w:lvlText w:val="•"/>
      <w:lvlJc w:val="left"/>
      <w:pPr>
        <w:tabs>
          <w:tab w:val="num" w:pos="5040"/>
        </w:tabs>
        <w:ind w:left="5040" w:hanging="360"/>
      </w:pPr>
      <w:rPr>
        <w:rFonts w:ascii="Arial" w:hAnsi="Arial" w:hint="default"/>
      </w:rPr>
    </w:lvl>
    <w:lvl w:ilvl="7" w:tplc="E86AC18E" w:tentative="1">
      <w:start w:val="1"/>
      <w:numFmt w:val="bullet"/>
      <w:lvlText w:val="•"/>
      <w:lvlJc w:val="left"/>
      <w:pPr>
        <w:tabs>
          <w:tab w:val="num" w:pos="5760"/>
        </w:tabs>
        <w:ind w:left="5760" w:hanging="360"/>
      </w:pPr>
      <w:rPr>
        <w:rFonts w:ascii="Arial" w:hAnsi="Arial" w:hint="default"/>
      </w:rPr>
    </w:lvl>
    <w:lvl w:ilvl="8" w:tplc="198083E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9541B11"/>
    <w:multiLevelType w:val="hybridMultilevel"/>
    <w:tmpl w:val="0D1AF706"/>
    <w:lvl w:ilvl="0" w:tplc="56128BC6">
      <w:start w:val="1"/>
      <w:numFmt w:val="bullet"/>
      <w:lvlText w:val="•"/>
      <w:lvlJc w:val="left"/>
      <w:pPr>
        <w:tabs>
          <w:tab w:val="num" w:pos="720"/>
        </w:tabs>
        <w:ind w:left="720" w:hanging="360"/>
      </w:pPr>
      <w:rPr>
        <w:rFonts w:ascii="Arial" w:hAnsi="Arial" w:hint="default"/>
      </w:rPr>
    </w:lvl>
    <w:lvl w:ilvl="1" w:tplc="93AA8734">
      <w:numFmt w:val="bullet"/>
      <w:lvlText w:val="•"/>
      <w:lvlJc w:val="left"/>
      <w:pPr>
        <w:tabs>
          <w:tab w:val="num" w:pos="1440"/>
        </w:tabs>
        <w:ind w:left="1440" w:hanging="360"/>
      </w:pPr>
      <w:rPr>
        <w:rFonts w:ascii="Arial" w:hAnsi="Arial" w:hint="default"/>
      </w:rPr>
    </w:lvl>
    <w:lvl w:ilvl="2" w:tplc="3508DA1A">
      <w:start w:val="1"/>
      <w:numFmt w:val="decimal"/>
      <w:lvlText w:val="%3)"/>
      <w:lvlJc w:val="left"/>
      <w:pPr>
        <w:tabs>
          <w:tab w:val="num" w:pos="2160"/>
        </w:tabs>
        <w:ind w:left="2160" w:hanging="360"/>
      </w:pPr>
    </w:lvl>
    <w:lvl w:ilvl="3" w:tplc="ADA28D80" w:tentative="1">
      <w:start w:val="1"/>
      <w:numFmt w:val="bullet"/>
      <w:lvlText w:val="•"/>
      <w:lvlJc w:val="left"/>
      <w:pPr>
        <w:tabs>
          <w:tab w:val="num" w:pos="2880"/>
        </w:tabs>
        <w:ind w:left="2880" w:hanging="360"/>
      </w:pPr>
      <w:rPr>
        <w:rFonts w:ascii="Arial" w:hAnsi="Arial" w:hint="default"/>
      </w:rPr>
    </w:lvl>
    <w:lvl w:ilvl="4" w:tplc="0E90F334" w:tentative="1">
      <w:start w:val="1"/>
      <w:numFmt w:val="bullet"/>
      <w:lvlText w:val="•"/>
      <w:lvlJc w:val="left"/>
      <w:pPr>
        <w:tabs>
          <w:tab w:val="num" w:pos="3600"/>
        </w:tabs>
        <w:ind w:left="3600" w:hanging="360"/>
      </w:pPr>
      <w:rPr>
        <w:rFonts w:ascii="Arial" w:hAnsi="Arial" w:hint="default"/>
      </w:rPr>
    </w:lvl>
    <w:lvl w:ilvl="5" w:tplc="C67ADF64" w:tentative="1">
      <w:start w:val="1"/>
      <w:numFmt w:val="bullet"/>
      <w:lvlText w:val="•"/>
      <w:lvlJc w:val="left"/>
      <w:pPr>
        <w:tabs>
          <w:tab w:val="num" w:pos="4320"/>
        </w:tabs>
        <w:ind w:left="4320" w:hanging="360"/>
      </w:pPr>
      <w:rPr>
        <w:rFonts w:ascii="Arial" w:hAnsi="Arial" w:hint="default"/>
      </w:rPr>
    </w:lvl>
    <w:lvl w:ilvl="6" w:tplc="AB5EA1EC" w:tentative="1">
      <w:start w:val="1"/>
      <w:numFmt w:val="bullet"/>
      <w:lvlText w:val="•"/>
      <w:lvlJc w:val="left"/>
      <w:pPr>
        <w:tabs>
          <w:tab w:val="num" w:pos="5040"/>
        </w:tabs>
        <w:ind w:left="5040" w:hanging="360"/>
      </w:pPr>
      <w:rPr>
        <w:rFonts w:ascii="Arial" w:hAnsi="Arial" w:hint="default"/>
      </w:rPr>
    </w:lvl>
    <w:lvl w:ilvl="7" w:tplc="5498AD4E" w:tentative="1">
      <w:start w:val="1"/>
      <w:numFmt w:val="bullet"/>
      <w:lvlText w:val="•"/>
      <w:lvlJc w:val="left"/>
      <w:pPr>
        <w:tabs>
          <w:tab w:val="num" w:pos="5760"/>
        </w:tabs>
        <w:ind w:left="5760" w:hanging="360"/>
      </w:pPr>
      <w:rPr>
        <w:rFonts w:ascii="Arial" w:hAnsi="Arial" w:hint="default"/>
      </w:rPr>
    </w:lvl>
    <w:lvl w:ilvl="8" w:tplc="F4702E2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C2B79FB"/>
    <w:multiLevelType w:val="hybridMultilevel"/>
    <w:tmpl w:val="DD70B556"/>
    <w:lvl w:ilvl="0" w:tplc="2BEA28FE">
      <w:start w:val="1"/>
      <w:numFmt w:val="bullet"/>
      <w:lvlText w:val="•"/>
      <w:lvlJc w:val="left"/>
      <w:pPr>
        <w:tabs>
          <w:tab w:val="num" w:pos="720"/>
        </w:tabs>
        <w:ind w:left="720" w:hanging="360"/>
      </w:pPr>
      <w:rPr>
        <w:rFonts w:ascii="Arial" w:hAnsi="Arial" w:hint="default"/>
      </w:rPr>
    </w:lvl>
    <w:lvl w:ilvl="1" w:tplc="F40C249E">
      <w:numFmt w:val="bullet"/>
      <w:lvlText w:val="•"/>
      <w:lvlJc w:val="left"/>
      <w:pPr>
        <w:tabs>
          <w:tab w:val="num" w:pos="1440"/>
        </w:tabs>
        <w:ind w:left="1440" w:hanging="360"/>
      </w:pPr>
      <w:rPr>
        <w:rFonts w:ascii="Arial" w:hAnsi="Arial" w:hint="default"/>
      </w:rPr>
    </w:lvl>
    <w:lvl w:ilvl="2" w:tplc="0CA20A0E">
      <w:start w:val="1"/>
      <w:numFmt w:val="decimal"/>
      <w:lvlText w:val="%3)"/>
      <w:lvlJc w:val="left"/>
      <w:pPr>
        <w:tabs>
          <w:tab w:val="num" w:pos="2160"/>
        </w:tabs>
        <w:ind w:left="2160" w:hanging="360"/>
      </w:pPr>
    </w:lvl>
    <w:lvl w:ilvl="3" w:tplc="26328EE8" w:tentative="1">
      <w:start w:val="1"/>
      <w:numFmt w:val="bullet"/>
      <w:lvlText w:val="•"/>
      <w:lvlJc w:val="left"/>
      <w:pPr>
        <w:tabs>
          <w:tab w:val="num" w:pos="2880"/>
        </w:tabs>
        <w:ind w:left="2880" w:hanging="360"/>
      </w:pPr>
      <w:rPr>
        <w:rFonts w:ascii="Arial" w:hAnsi="Arial" w:hint="default"/>
      </w:rPr>
    </w:lvl>
    <w:lvl w:ilvl="4" w:tplc="EC74B49C" w:tentative="1">
      <w:start w:val="1"/>
      <w:numFmt w:val="bullet"/>
      <w:lvlText w:val="•"/>
      <w:lvlJc w:val="left"/>
      <w:pPr>
        <w:tabs>
          <w:tab w:val="num" w:pos="3600"/>
        </w:tabs>
        <w:ind w:left="3600" w:hanging="360"/>
      </w:pPr>
      <w:rPr>
        <w:rFonts w:ascii="Arial" w:hAnsi="Arial" w:hint="default"/>
      </w:rPr>
    </w:lvl>
    <w:lvl w:ilvl="5" w:tplc="4E6857F4" w:tentative="1">
      <w:start w:val="1"/>
      <w:numFmt w:val="bullet"/>
      <w:lvlText w:val="•"/>
      <w:lvlJc w:val="left"/>
      <w:pPr>
        <w:tabs>
          <w:tab w:val="num" w:pos="4320"/>
        </w:tabs>
        <w:ind w:left="4320" w:hanging="360"/>
      </w:pPr>
      <w:rPr>
        <w:rFonts w:ascii="Arial" w:hAnsi="Arial" w:hint="default"/>
      </w:rPr>
    </w:lvl>
    <w:lvl w:ilvl="6" w:tplc="910ADA6C" w:tentative="1">
      <w:start w:val="1"/>
      <w:numFmt w:val="bullet"/>
      <w:lvlText w:val="•"/>
      <w:lvlJc w:val="left"/>
      <w:pPr>
        <w:tabs>
          <w:tab w:val="num" w:pos="5040"/>
        </w:tabs>
        <w:ind w:left="5040" w:hanging="360"/>
      </w:pPr>
      <w:rPr>
        <w:rFonts w:ascii="Arial" w:hAnsi="Arial" w:hint="default"/>
      </w:rPr>
    </w:lvl>
    <w:lvl w:ilvl="7" w:tplc="0A02311A" w:tentative="1">
      <w:start w:val="1"/>
      <w:numFmt w:val="bullet"/>
      <w:lvlText w:val="•"/>
      <w:lvlJc w:val="left"/>
      <w:pPr>
        <w:tabs>
          <w:tab w:val="num" w:pos="5760"/>
        </w:tabs>
        <w:ind w:left="5760" w:hanging="360"/>
      </w:pPr>
      <w:rPr>
        <w:rFonts w:ascii="Arial" w:hAnsi="Arial" w:hint="default"/>
      </w:rPr>
    </w:lvl>
    <w:lvl w:ilvl="8" w:tplc="1C8A55A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01943E2"/>
    <w:multiLevelType w:val="multilevel"/>
    <w:tmpl w:val="3C029BE6"/>
    <w:lvl w:ilvl="0">
      <w:start w:val="1"/>
      <w:numFmt w:val="decimal"/>
      <w:lvlText w:val="%1."/>
      <w:lvlJc w:val="left"/>
      <w:pPr>
        <w:ind w:left="720" w:hanging="360"/>
      </w:pPr>
      <w:rPr>
        <w:rFonts w:hint="default"/>
        <w:sz w:val="28"/>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27" w15:restartNumberingAfterBreak="0">
    <w:nsid w:val="71AC1673"/>
    <w:multiLevelType w:val="hybridMultilevel"/>
    <w:tmpl w:val="24262E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6001EE6"/>
    <w:multiLevelType w:val="multilevel"/>
    <w:tmpl w:val="313A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7B4F29"/>
    <w:multiLevelType w:val="multilevel"/>
    <w:tmpl w:val="46443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9"/>
  </w:num>
  <w:num w:numId="3">
    <w:abstractNumId w:val="10"/>
  </w:num>
  <w:num w:numId="4">
    <w:abstractNumId w:val="3"/>
  </w:num>
  <w:num w:numId="5">
    <w:abstractNumId w:val="7"/>
  </w:num>
  <w:num w:numId="6">
    <w:abstractNumId w:val="4"/>
  </w:num>
  <w:num w:numId="7">
    <w:abstractNumId w:val="17"/>
  </w:num>
  <w:num w:numId="8">
    <w:abstractNumId w:val="29"/>
  </w:num>
  <w:num w:numId="9">
    <w:abstractNumId w:val="28"/>
  </w:num>
  <w:num w:numId="10">
    <w:abstractNumId w:val="24"/>
  </w:num>
  <w:num w:numId="11">
    <w:abstractNumId w:val="15"/>
  </w:num>
  <w:num w:numId="12">
    <w:abstractNumId w:val="23"/>
  </w:num>
  <w:num w:numId="13">
    <w:abstractNumId w:val="11"/>
  </w:num>
  <w:num w:numId="14">
    <w:abstractNumId w:val="2"/>
  </w:num>
  <w:num w:numId="15">
    <w:abstractNumId w:val="22"/>
  </w:num>
  <w:num w:numId="16">
    <w:abstractNumId w:val="25"/>
  </w:num>
  <w:num w:numId="17">
    <w:abstractNumId w:val="5"/>
  </w:num>
  <w:num w:numId="18">
    <w:abstractNumId w:val="27"/>
  </w:num>
  <w:num w:numId="19">
    <w:abstractNumId w:val="14"/>
  </w:num>
  <w:num w:numId="20">
    <w:abstractNumId w:val="21"/>
  </w:num>
  <w:num w:numId="21">
    <w:abstractNumId w:val="0"/>
  </w:num>
  <w:num w:numId="22">
    <w:abstractNumId w:val="8"/>
  </w:num>
  <w:num w:numId="23">
    <w:abstractNumId w:val="18"/>
  </w:num>
  <w:num w:numId="24">
    <w:abstractNumId w:val="26"/>
  </w:num>
  <w:num w:numId="25">
    <w:abstractNumId w:val="12"/>
  </w:num>
  <w:num w:numId="26">
    <w:abstractNumId w:val="13"/>
  </w:num>
  <w:num w:numId="27">
    <w:abstractNumId w:val="1"/>
  </w:num>
  <w:num w:numId="28">
    <w:abstractNumId w:val="16"/>
  </w:num>
  <w:num w:numId="29">
    <w:abstractNumId w:val="6"/>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050"/>
    <w:rsid w:val="0000071C"/>
    <w:rsid w:val="00000A18"/>
    <w:rsid w:val="00001586"/>
    <w:rsid w:val="00002785"/>
    <w:rsid w:val="00002F17"/>
    <w:rsid w:val="00004352"/>
    <w:rsid w:val="000053F4"/>
    <w:rsid w:val="000069EC"/>
    <w:rsid w:val="0001197C"/>
    <w:rsid w:val="00012593"/>
    <w:rsid w:val="00014029"/>
    <w:rsid w:val="00014D34"/>
    <w:rsid w:val="00017345"/>
    <w:rsid w:val="000202DD"/>
    <w:rsid w:val="000228A8"/>
    <w:rsid w:val="0002678A"/>
    <w:rsid w:val="0002680E"/>
    <w:rsid w:val="000312E2"/>
    <w:rsid w:val="000379E9"/>
    <w:rsid w:val="000429DB"/>
    <w:rsid w:val="00047A3C"/>
    <w:rsid w:val="00052925"/>
    <w:rsid w:val="000532D7"/>
    <w:rsid w:val="00054FF0"/>
    <w:rsid w:val="00055AB2"/>
    <w:rsid w:val="000628A4"/>
    <w:rsid w:val="00064E7D"/>
    <w:rsid w:val="000672EF"/>
    <w:rsid w:val="000676A3"/>
    <w:rsid w:val="00067988"/>
    <w:rsid w:val="0007009B"/>
    <w:rsid w:val="00070F84"/>
    <w:rsid w:val="00072281"/>
    <w:rsid w:val="00073BF7"/>
    <w:rsid w:val="00075E86"/>
    <w:rsid w:val="00076DCC"/>
    <w:rsid w:val="000776A3"/>
    <w:rsid w:val="000817D5"/>
    <w:rsid w:val="00083D8F"/>
    <w:rsid w:val="00085D88"/>
    <w:rsid w:val="000875EB"/>
    <w:rsid w:val="0009107C"/>
    <w:rsid w:val="00092077"/>
    <w:rsid w:val="00092101"/>
    <w:rsid w:val="00093941"/>
    <w:rsid w:val="00094103"/>
    <w:rsid w:val="0009467D"/>
    <w:rsid w:val="000A25CF"/>
    <w:rsid w:val="000A47B6"/>
    <w:rsid w:val="000A61AA"/>
    <w:rsid w:val="000B155C"/>
    <w:rsid w:val="000B1C91"/>
    <w:rsid w:val="000B4B88"/>
    <w:rsid w:val="000B7A4D"/>
    <w:rsid w:val="000C01E5"/>
    <w:rsid w:val="000D04E1"/>
    <w:rsid w:val="000D14B0"/>
    <w:rsid w:val="000D322D"/>
    <w:rsid w:val="000D52DD"/>
    <w:rsid w:val="000D5920"/>
    <w:rsid w:val="000E11D6"/>
    <w:rsid w:val="000E353D"/>
    <w:rsid w:val="000E4D3F"/>
    <w:rsid w:val="000E534E"/>
    <w:rsid w:val="000E5495"/>
    <w:rsid w:val="000E5EF2"/>
    <w:rsid w:val="000E6ABB"/>
    <w:rsid w:val="000F003E"/>
    <w:rsid w:val="000F1DB1"/>
    <w:rsid w:val="000F2B80"/>
    <w:rsid w:val="000F5F89"/>
    <w:rsid w:val="000F6021"/>
    <w:rsid w:val="00100685"/>
    <w:rsid w:val="001012DC"/>
    <w:rsid w:val="00101600"/>
    <w:rsid w:val="001032E3"/>
    <w:rsid w:val="00104D52"/>
    <w:rsid w:val="001136D2"/>
    <w:rsid w:val="00115176"/>
    <w:rsid w:val="001179C5"/>
    <w:rsid w:val="00120A87"/>
    <w:rsid w:val="00120E17"/>
    <w:rsid w:val="00125C07"/>
    <w:rsid w:val="001338C1"/>
    <w:rsid w:val="00144B87"/>
    <w:rsid w:val="0015186C"/>
    <w:rsid w:val="00155F7F"/>
    <w:rsid w:val="00157131"/>
    <w:rsid w:val="0016740F"/>
    <w:rsid w:val="00172A51"/>
    <w:rsid w:val="00176884"/>
    <w:rsid w:val="00181C8E"/>
    <w:rsid w:val="001856D1"/>
    <w:rsid w:val="0018579B"/>
    <w:rsid w:val="00186178"/>
    <w:rsid w:val="001863E7"/>
    <w:rsid w:val="00186CE2"/>
    <w:rsid w:val="00197AEF"/>
    <w:rsid w:val="001A28B4"/>
    <w:rsid w:val="001A49D7"/>
    <w:rsid w:val="001B7621"/>
    <w:rsid w:val="001C0909"/>
    <w:rsid w:val="001C0F45"/>
    <w:rsid w:val="001C1B86"/>
    <w:rsid w:val="001C25FE"/>
    <w:rsid w:val="001C2770"/>
    <w:rsid w:val="001C2A9E"/>
    <w:rsid w:val="001C30D3"/>
    <w:rsid w:val="001C58F9"/>
    <w:rsid w:val="001D122B"/>
    <w:rsid w:val="001D294C"/>
    <w:rsid w:val="001D5B10"/>
    <w:rsid w:val="001D5C25"/>
    <w:rsid w:val="001D5EA4"/>
    <w:rsid w:val="001D6B19"/>
    <w:rsid w:val="001D7893"/>
    <w:rsid w:val="001E1486"/>
    <w:rsid w:val="001E16F8"/>
    <w:rsid w:val="001E2221"/>
    <w:rsid w:val="001E36E5"/>
    <w:rsid w:val="001E4B51"/>
    <w:rsid w:val="001F29EA"/>
    <w:rsid w:val="001F3E58"/>
    <w:rsid w:val="001F48EF"/>
    <w:rsid w:val="001F615E"/>
    <w:rsid w:val="001F635C"/>
    <w:rsid w:val="00201967"/>
    <w:rsid w:val="00203952"/>
    <w:rsid w:val="002049B4"/>
    <w:rsid w:val="00206728"/>
    <w:rsid w:val="0021075F"/>
    <w:rsid w:val="00215394"/>
    <w:rsid w:val="002171F8"/>
    <w:rsid w:val="0022209B"/>
    <w:rsid w:val="0022263C"/>
    <w:rsid w:val="00222C2B"/>
    <w:rsid w:val="00226E9A"/>
    <w:rsid w:val="002275F5"/>
    <w:rsid w:val="00227924"/>
    <w:rsid w:val="00234C6A"/>
    <w:rsid w:val="00234CE6"/>
    <w:rsid w:val="00235587"/>
    <w:rsid w:val="002363DE"/>
    <w:rsid w:val="002367B9"/>
    <w:rsid w:val="00242556"/>
    <w:rsid w:val="00244438"/>
    <w:rsid w:val="00245479"/>
    <w:rsid w:val="00245F76"/>
    <w:rsid w:val="00246450"/>
    <w:rsid w:val="0025169D"/>
    <w:rsid w:val="00255B5D"/>
    <w:rsid w:val="00270E4C"/>
    <w:rsid w:val="00271BE5"/>
    <w:rsid w:val="002728A7"/>
    <w:rsid w:val="00277D81"/>
    <w:rsid w:val="00286A45"/>
    <w:rsid w:val="0028718B"/>
    <w:rsid w:val="00291C69"/>
    <w:rsid w:val="00294A53"/>
    <w:rsid w:val="002A05A9"/>
    <w:rsid w:val="002A3B38"/>
    <w:rsid w:val="002A5EF3"/>
    <w:rsid w:val="002A5F82"/>
    <w:rsid w:val="002A64D5"/>
    <w:rsid w:val="002A6BC8"/>
    <w:rsid w:val="002A6E7B"/>
    <w:rsid w:val="002B0C40"/>
    <w:rsid w:val="002C082D"/>
    <w:rsid w:val="002C3026"/>
    <w:rsid w:val="002D17A6"/>
    <w:rsid w:val="002D4323"/>
    <w:rsid w:val="002D45E0"/>
    <w:rsid w:val="002D57F7"/>
    <w:rsid w:val="002D5923"/>
    <w:rsid w:val="002D7631"/>
    <w:rsid w:val="002E0DC3"/>
    <w:rsid w:val="002E79F3"/>
    <w:rsid w:val="002F0AE9"/>
    <w:rsid w:val="002F7C1B"/>
    <w:rsid w:val="00306A05"/>
    <w:rsid w:val="00306F00"/>
    <w:rsid w:val="00312389"/>
    <w:rsid w:val="00312B53"/>
    <w:rsid w:val="00313AC1"/>
    <w:rsid w:val="0031620F"/>
    <w:rsid w:val="003179D4"/>
    <w:rsid w:val="00321FEF"/>
    <w:rsid w:val="003260EB"/>
    <w:rsid w:val="0032798C"/>
    <w:rsid w:val="003322D5"/>
    <w:rsid w:val="0033571B"/>
    <w:rsid w:val="00336E95"/>
    <w:rsid w:val="00341658"/>
    <w:rsid w:val="00346680"/>
    <w:rsid w:val="00346C32"/>
    <w:rsid w:val="00347C42"/>
    <w:rsid w:val="00352CCB"/>
    <w:rsid w:val="00355289"/>
    <w:rsid w:val="0035619B"/>
    <w:rsid w:val="00356F44"/>
    <w:rsid w:val="00362BBC"/>
    <w:rsid w:val="003642A1"/>
    <w:rsid w:val="00370065"/>
    <w:rsid w:val="00373184"/>
    <w:rsid w:val="00374FAB"/>
    <w:rsid w:val="00376EFF"/>
    <w:rsid w:val="0038047A"/>
    <w:rsid w:val="003814EB"/>
    <w:rsid w:val="00383AD7"/>
    <w:rsid w:val="00390431"/>
    <w:rsid w:val="00390A4F"/>
    <w:rsid w:val="00391658"/>
    <w:rsid w:val="003A1308"/>
    <w:rsid w:val="003A351F"/>
    <w:rsid w:val="003A4B2B"/>
    <w:rsid w:val="003A7A01"/>
    <w:rsid w:val="003B0BBD"/>
    <w:rsid w:val="003B407C"/>
    <w:rsid w:val="003B4D0E"/>
    <w:rsid w:val="003C1601"/>
    <w:rsid w:val="003C6645"/>
    <w:rsid w:val="003D2C0A"/>
    <w:rsid w:val="003D35A5"/>
    <w:rsid w:val="003D35D2"/>
    <w:rsid w:val="003D5768"/>
    <w:rsid w:val="003E16DB"/>
    <w:rsid w:val="003E507C"/>
    <w:rsid w:val="003E5A58"/>
    <w:rsid w:val="003E7A70"/>
    <w:rsid w:val="003F00F4"/>
    <w:rsid w:val="003F0F73"/>
    <w:rsid w:val="003F1C87"/>
    <w:rsid w:val="003F3838"/>
    <w:rsid w:val="003F4A81"/>
    <w:rsid w:val="00401661"/>
    <w:rsid w:val="004017F1"/>
    <w:rsid w:val="00401867"/>
    <w:rsid w:val="004028E7"/>
    <w:rsid w:val="0040344B"/>
    <w:rsid w:val="00403BB1"/>
    <w:rsid w:val="0040671D"/>
    <w:rsid w:val="00406AB7"/>
    <w:rsid w:val="00414684"/>
    <w:rsid w:val="00420BC7"/>
    <w:rsid w:val="00424F6B"/>
    <w:rsid w:val="00425ED3"/>
    <w:rsid w:val="00426BD7"/>
    <w:rsid w:val="00437871"/>
    <w:rsid w:val="00437D6F"/>
    <w:rsid w:val="004401A4"/>
    <w:rsid w:val="0044138F"/>
    <w:rsid w:val="004421A8"/>
    <w:rsid w:val="00443B53"/>
    <w:rsid w:val="0044479C"/>
    <w:rsid w:val="0044648B"/>
    <w:rsid w:val="00447527"/>
    <w:rsid w:val="00451185"/>
    <w:rsid w:val="00451D94"/>
    <w:rsid w:val="004525EC"/>
    <w:rsid w:val="00455C51"/>
    <w:rsid w:val="00457262"/>
    <w:rsid w:val="00461598"/>
    <w:rsid w:val="00464364"/>
    <w:rsid w:val="00464541"/>
    <w:rsid w:val="00471182"/>
    <w:rsid w:val="004729AF"/>
    <w:rsid w:val="0047445D"/>
    <w:rsid w:val="004755D0"/>
    <w:rsid w:val="00481E06"/>
    <w:rsid w:val="0048218E"/>
    <w:rsid w:val="00482327"/>
    <w:rsid w:val="004837EA"/>
    <w:rsid w:val="004843DC"/>
    <w:rsid w:val="0048528B"/>
    <w:rsid w:val="00490502"/>
    <w:rsid w:val="004917A2"/>
    <w:rsid w:val="00493ADD"/>
    <w:rsid w:val="00495126"/>
    <w:rsid w:val="00495187"/>
    <w:rsid w:val="00495F2E"/>
    <w:rsid w:val="0049611E"/>
    <w:rsid w:val="004A05D8"/>
    <w:rsid w:val="004A2451"/>
    <w:rsid w:val="004A3D5F"/>
    <w:rsid w:val="004A522D"/>
    <w:rsid w:val="004A524A"/>
    <w:rsid w:val="004A588F"/>
    <w:rsid w:val="004A58E0"/>
    <w:rsid w:val="004B14D6"/>
    <w:rsid w:val="004B2784"/>
    <w:rsid w:val="004B7350"/>
    <w:rsid w:val="004B7777"/>
    <w:rsid w:val="004C1825"/>
    <w:rsid w:val="004C3D6E"/>
    <w:rsid w:val="004C466E"/>
    <w:rsid w:val="004D040C"/>
    <w:rsid w:val="004D1583"/>
    <w:rsid w:val="004D33D2"/>
    <w:rsid w:val="004D4D18"/>
    <w:rsid w:val="004D578F"/>
    <w:rsid w:val="004E0C1A"/>
    <w:rsid w:val="004E0E86"/>
    <w:rsid w:val="004E493D"/>
    <w:rsid w:val="004F2317"/>
    <w:rsid w:val="00502326"/>
    <w:rsid w:val="00502ABC"/>
    <w:rsid w:val="00504AB4"/>
    <w:rsid w:val="00504BB0"/>
    <w:rsid w:val="00511EA6"/>
    <w:rsid w:val="00514D73"/>
    <w:rsid w:val="00515482"/>
    <w:rsid w:val="0051682D"/>
    <w:rsid w:val="0052086A"/>
    <w:rsid w:val="00520F9D"/>
    <w:rsid w:val="00521F0C"/>
    <w:rsid w:val="00526D1E"/>
    <w:rsid w:val="00527F48"/>
    <w:rsid w:val="005321D8"/>
    <w:rsid w:val="00533E45"/>
    <w:rsid w:val="00540217"/>
    <w:rsid w:val="00541BBF"/>
    <w:rsid w:val="00544809"/>
    <w:rsid w:val="00554657"/>
    <w:rsid w:val="00554EA9"/>
    <w:rsid w:val="00556A0A"/>
    <w:rsid w:val="00560035"/>
    <w:rsid w:val="00564C75"/>
    <w:rsid w:val="00576DD9"/>
    <w:rsid w:val="00577CCC"/>
    <w:rsid w:val="00582B27"/>
    <w:rsid w:val="0058664B"/>
    <w:rsid w:val="00586E15"/>
    <w:rsid w:val="00586FF0"/>
    <w:rsid w:val="0059124D"/>
    <w:rsid w:val="0059160A"/>
    <w:rsid w:val="00592F4E"/>
    <w:rsid w:val="005940F7"/>
    <w:rsid w:val="005A2C8C"/>
    <w:rsid w:val="005A5FEE"/>
    <w:rsid w:val="005A709B"/>
    <w:rsid w:val="005B4A60"/>
    <w:rsid w:val="005B744F"/>
    <w:rsid w:val="005C47A4"/>
    <w:rsid w:val="005C7C5C"/>
    <w:rsid w:val="005D08D3"/>
    <w:rsid w:val="005E1E3B"/>
    <w:rsid w:val="005E3E7D"/>
    <w:rsid w:val="005E4E10"/>
    <w:rsid w:val="005E59F2"/>
    <w:rsid w:val="005E658F"/>
    <w:rsid w:val="005E6977"/>
    <w:rsid w:val="005E7A92"/>
    <w:rsid w:val="005F5184"/>
    <w:rsid w:val="005F7535"/>
    <w:rsid w:val="006036B1"/>
    <w:rsid w:val="00603785"/>
    <w:rsid w:val="006121D4"/>
    <w:rsid w:val="00613FD0"/>
    <w:rsid w:val="006154E8"/>
    <w:rsid w:val="006206C2"/>
    <w:rsid w:val="00623D32"/>
    <w:rsid w:val="00631C85"/>
    <w:rsid w:val="006324DF"/>
    <w:rsid w:val="00632C41"/>
    <w:rsid w:val="00634CC3"/>
    <w:rsid w:val="00637B5C"/>
    <w:rsid w:val="00641AFC"/>
    <w:rsid w:val="006429B1"/>
    <w:rsid w:val="00646EA7"/>
    <w:rsid w:val="006576A2"/>
    <w:rsid w:val="006629FD"/>
    <w:rsid w:val="006632C8"/>
    <w:rsid w:val="006632E8"/>
    <w:rsid w:val="00665EEC"/>
    <w:rsid w:val="00667E26"/>
    <w:rsid w:val="00671125"/>
    <w:rsid w:val="0067381C"/>
    <w:rsid w:val="00675A35"/>
    <w:rsid w:val="00681261"/>
    <w:rsid w:val="00684022"/>
    <w:rsid w:val="00690088"/>
    <w:rsid w:val="00691688"/>
    <w:rsid w:val="00697D78"/>
    <w:rsid w:val="006A2017"/>
    <w:rsid w:val="006A513C"/>
    <w:rsid w:val="006A6618"/>
    <w:rsid w:val="006B2A17"/>
    <w:rsid w:val="006C3F9E"/>
    <w:rsid w:val="006C4D03"/>
    <w:rsid w:val="006C5E7A"/>
    <w:rsid w:val="006C65BB"/>
    <w:rsid w:val="006D257D"/>
    <w:rsid w:val="006D2CAF"/>
    <w:rsid w:val="006D5A6F"/>
    <w:rsid w:val="006D68A8"/>
    <w:rsid w:val="006E05C4"/>
    <w:rsid w:val="006E06FE"/>
    <w:rsid w:val="006E17FD"/>
    <w:rsid w:val="006E66A2"/>
    <w:rsid w:val="006F6058"/>
    <w:rsid w:val="006F6A1D"/>
    <w:rsid w:val="00700D22"/>
    <w:rsid w:val="00702EB5"/>
    <w:rsid w:val="00703120"/>
    <w:rsid w:val="0070581B"/>
    <w:rsid w:val="00707844"/>
    <w:rsid w:val="007125D0"/>
    <w:rsid w:val="00714832"/>
    <w:rsid w:val="007175C9"/>
    <w:rsid w:val="00720D06"/>
    <w:rsid w:val="00720D47"/>
    <w:rsid w:val="00721792"/>
    <w:rsid w:val="0072253E"/>
    <w:rsid w:val="00724F73"/>
    <w:rsid w:val="007252F3"/>
    <w:rsid w:val="007268DD"/>
    <w:rsid w:val="00726D94"/>
    <w:rsid w:val="00727590"/>
    <w:rsid w:val="00727C19"/>
    <w:rsid w:val="0073022D"/>
    <w:rsid w:val="00732957"/>
    <w:rsid w:val="0074333B"/>
    <w:rsid w:val="00750AE9"/>
    <w:rsid w:val="00750F05"/>
    <w:rsid w:val="00752E2C"/>
    <w:rsid w:val="00753175"/>
    <w:rsid w:val="00755F3D"/>
    <w:rsid w:val="007605EC"/>
    <w:rsid w:val="00760B1B"/>
    <w:rsid w:val="00763D97"/>
    <w:rsid w:val="00763DD4"/>
    <w:rsid w:val="0077219C"/>
    <w:rsid w:val="00776FEE"/>
    <w:rsid w:val="00780BA0"/>
    <w:rsid w:val="00780CAA"/>
    <w:rsid w:val="00791ED5"/>
    <w:rsid w:val="00792F1A"/>
    <w:rsid w:val="007937F1"/>
    <w:rsid w:val="00796A98"/>
    <w:rsid w:val="0079706C"/>
    <w:rsid w:val="007A020B"/>
    <w:rsid w:val="007A0476"/>
    <w:rsid w:val="007A13CE"/>
    <w:rsid w:val="007A4138"/>
    <w:rsid w:val="007A46B3"/>
    <w:rsid w:val="007A69F0"/>
    <w:rsid w:val="007A6B2D"/>
    <w:rsid w:val="007B0F81"/>
    <w:rsid w:val="007B11C1"/>
    <w:rsid w:val="007B3859"/>
    <w:rsid w:val="007B38EB"/>
    <w:rsid w:val="007B6C18"/>
    <w:rsid w:val="007B746E"/>
    <w:rsid w:val="007C0704"/>
    <w:rsid w:val="007C1481"/>
    <w:rsid w:val="007D18D1"/>
    <w:rsid w:val="007D194E"/>
    <w:rsid w:val="007D44D3"/>
    <w:rsid w:val="007D6112"/>
    <w:rsid w:val="007D63A9"/>
    <w:rsid w:val="007E370B"/>
    <w:rsid w:val="007E422A"/>
    <w:rsid w:val="007E54E7"/>
    <w:rsid w:val="007E67D8"/>
    <w:rsid w:val="007F2464"/>
    <w:rsid w:val="007F29F6"/>
    <w:rsid w:val="007F42A5"/>
    <w:rsid w:val="007F652A"/>
    <w:rsid w:val="007F69CA"/>
    <w:rsid w:val="00801FB9"/>
    <w:rsid w:val="008040A1"/>
    <w:rsid w:val="00804B67"/>
    <w:rsid w:val="00805AFD"/>
    <w:rsid w:val="00806FA8"/>
    <w:rsid w:val="008112EA"/>
    <w:rsid w:val="00812CF0"/>
    <w:rsid w:val="00813C51"/>
    <w:rsid w:val="00813DFA"/>
    <w:rsid w:val="00814670"/>
    <w:rsid w:val="00822A82"/>
    <w:rsid w:val="0083043D"/>
    <w:rsid w:val="008315A6"/>
    <w:rsid w:val="00833A3C"/>
    <w:rsid w:val="008374D9"/>
    <w:rsid w:val="00840AEA"/>
    <w:rsid w:val="00844A1E"/>
    <w:rsid w:val="00851156"/>
    <w:rsid w:val="00851A1A"/>
    <w:rsid w:val="00851D35"/>
    <w:rsid w:val="0085301C"/>
    <w:rsid w:val="00853646"/>
    <w:rsid w:val="008620EE"/>
    <w:rsid w:val="008635E1"/>
    <w:rsid w:val="008722D2"/>
    <w:rsid w:val="00872C27"/>
    <w:rsid w:val="00873FEE"/>
    <w:rsid w:val="008849F2"/>
    <w:rsid w:val="00890FC8"/>
    <w:rsid w:val="008933EB"/>
    <w:rsid w:val="008A5F7D"/>
    <w:rsid w:val="008A637B"/>
    <w:rsid w:val="008B4B79"/>
    <w:rsid w:val="008B7888"/>
    <w:rsid w:val="008C1AF9"/>
    <w:rsid w:val="008C5066"/>
    <w:rsid w:val="008C58F8"/>
    <w:rsid w:val="008D4C8D"/>
    <w:rsid w:val="008D6E51"/>
    <w:rsid w:val="008E0EA3"/>
    <w:rsid w:val="008E2738"/>
    <w:rsid w:val="008E68D3"/>
    <w:rsid w:val="008E7B0C"/>
    <w:rsid w:val="008F1681"/>
    <w:rsid w:val="00900132"/>
    <w:rsid w:val="00901916"/>
    <w:rsid w:val="00906C70"/>
    <w:rsid w:val="00910159"/>
    <w:rsid w:val="009172AA"/>
    <w:rsid w:val="00923E2E"/>
    <w:rsid w:val="009254AB"/>
    <w:rsid w:val="00925754"/>
    <w:rsid w:val="00927654"/>
    <w:rsid w:val="00927E94"/>
    <w:rsid w:val="0093190A"/>
    <w:rsid w:val="009331A0"/>
    <w:rsid w:val="009342A3"/>
    <w:rsid w:val="009344F9"/>
    <w:rsid w:val="00935CB9"/>
    <w:rsid w:val="00943B8D"/>
    <w:rsid w:val="00945991"/>
    <w:rsid w:val="00945BEF"/>
    <w:rsid w:val="009462D6"/>
    <w:rsid w:val="009511E1"/>
    <w:rsid w:val="0095319F"/>
    <w:rsid w:val="00953D1C"/>
    <w:rsid w:val="009552BE"/>
    <w:rsid w:val="0095771E"/>
    <w:rsid w:val="009578C2"/>
    <w:rsid w:val="00965E1E"/>
    <w:rsid w:val="00967CE4"/>
    <w:rsid w:val="0097576D"/>
    <w:rsid w:val="009761E8"/>
    <w:rsid w:val="00976514"/>
    <w:rsid w:val="00976BA3"/>
    <w:rsid w:val="00990E62"/>
    <w:rsid w:val="00991911"/>
    <w:rsid w:val="00994F22"/>
    <w:rsid w:val="00995683"/>
    <w:rsid w:val="009969ED"/>
    <w:rsid w:val="009A18BD"/>
    <w:rsid w:val="009A2FA1"/>
    <w:rsid w:val="009A39D1"/>
    <w:rsid w:val="009A5435"/>
    <w:rsid w:val="009B021B"/>
    <w:rsid w:val="009B1854"/>
    <w:rsid w:val="009B6005"/>
    <w:rsid w:val="009C2F47"/>
    <w:rsid w:val="009C3B29"/>
    <w:rsid w:val="009C3ECB"/>
    <w:rsid w:val="009C4B0D"/>
    <w:rsid w:val="009C4C06"/>
    <w:rsid w:val="009C7CEC"/>
    <w:rsid w:val="009D18E7"/>
    <w:rsid w:val="009D2AF0"/>
    <w:rsid w:val="009D30CC"/>
    <w:rsid w:val="009D5196"/>
    <w:rsid w:val="009D597B"/>
    <w:rsid w:val="009D6E86"/>
    <w:rsid w:val="009E29B0"/>
    <w:rsid w:val="009E2EBD"/>
    <w:rsid w:val="009E4213"/>
    <w:rsid w:val="009F0EC1"/>
    <w:rsid w:val="009F78C1"/>
    <w:rsid w:val="00A0164F"/>
    <w:rsid w:val="00A0624E"/>
    <w:rsid w:val="00A06CD7"/>
    <w:rsid w:val="00A0771F"/>
    <w:rsid w:val="00A07DD3"/>
    <w:rsid w:val="00A1182C"/>
    <w:rsid w:val="00A14B32"/>
    <w:rsid w:val="00A15000"/>
    <w:rsid w:val="00A15169"/>
    <w:rsid w:val="00A159B2"/>
    <w:rsid w:val="00A209B0"/>
    <w:rsid w:val="00A23688"/>
    <w:rsid w:val="00A266E3"/>
    <w:rsid w:val="00A30440"/>
    <w:rsid w:val="00A308F0"/>
    <w:rsid w:val="00A34888"/>
    <w:rsid w:val="00A350EE"/>
    <w:rsid w:val="00A36B08"/>
    <w:rsid w:val="00A4031B"/>
    <w:rsid w:val="00A43156"/>
    <w:rsid w:val="00A47156"/>
    <w:rsid w:val="00A518DD"/>
    <w:rsid w:val="00A5194F"/>
    <w:rsid w:val="00A536CE"/>
    <w:rsid w:val="00A57C2D"/>
    <w:rsid w:val="00A6399E"/>
    <w:rsid w:val="00A64441"/>
    <w:rsid w:val="00A64888"/>
    <w:rsid w:val="00A67BDD"/>
    <w:rsid w:val="00A707F5"/>
    <w:rsid w:val="00A7363C"/>
    <w:rsid w:val="00A740C9"/>
    <w:rsid w:val="00A76893"/>
    <w:rsid w:val="00A76C06"/>
    <w:rsid w:val="00A80DB2"/>
    <w:rsid w:val="00A82953"/>
    <w:rsid w:val="00A83D5A"/>
    <w:rsid w:val="00A867FA"/>
    <w:rsid w:val="00A86811"/>
    <w:rsid w:val="00A90056"/>
    <w:rsid w:val="00A91B76"/>
    <w:rsid w:val="00A92ECA"/>
    <w:rsid w:val="00AA2EA0"/>
    <w:rsid w:val="00AA589C"/>
    <w:rsid w:val="00AB24C8"/>
    <w:rsid w:val="00AB434A"/>
    <w:rsid w:val="00AB709C"/>
    <w:rsid w:val="00AB78C0"/>
    <w:rsid w:val="00AC070A"/>
    <w:rsid w:val="00AC07D1"/>
    <w:rsid w:val="00AC22EE"/>
    <w:rsid w:val="00AC28A8"/>
    <w:rsid w:val="00AC2A5E"/>
    <w:rsid w:val="00AC2AAE"/>
    <w:rsid w:val="00AC32C4"/>
    <w:rsid w:val="00AC3DA0"/>
    <w:rsid w:val="00AC5CF8"/>
    <w:rsid w:val="00AC5FBD"/>
    <w:rsid w:val="00AD2250"/>
    <w:rsid w:val="00AD3FA4"/>
    <w:rsid w:val="00AD487C"/>
    <w:rsid w:val="00AD550D"/>
    <w:rsid w:val="00AD618E"/>
    <w:rsid w:val="00AE041C"/>
    <w:rsid w:val="00AE06A0"/>
    <w:rsid w:val="00AE19D7"/>
    <w:rsid w:val="00AF24D6"/>
    <w:rsid w:val="00AF3FEB"/>
    <w:rsid w:val="00B024D5"/>
    <w:rsid w:val="00B034F9"/>
    <w:rsid w:val="00B068C4"/>
    <w:rsid w:val="00B12582"/>
    <w:rsid w:val="00B20496"/>
    <w:rsid w:val="00B24D4B"/>
    <w:rsid w:val="00B31BBC"/>
    <w:rsid w:val="00B3264E"/>
    <w:rsid w:val="00B41F8F"/>
    <w:rsid w:val="00B47A47"/>
    <w:rsid w:val="00B47AAA"/>
    <w:rsid w:val="00B50494"/>
    <w:rsid w:val="00B53EB8"/>
    <w:rsid w:val="00B561CE"/>
    <w:rsid w:val="00B56AA5"/>
    <w:rsid w:val="00B622F4"/>
    <w:rsid w:val="00B62D5B"/>
    <w:rsid w:val="00B66A84"/>
    <w:rsid w:val="00B706D9"/>
    <w:rsid w:val="00B7079C"/>
    <w:rsid w:val="00B823A3"/>
    <w:rsid w:val="00B83A10"/>
    <w:rsid w:val="00B84DCC"/>
    <w:rsid w:val="00B8629F"/>
    <w:rsid w:val="00B869E4"/>
    <w:rsid w:val="00B86F47"/>
    <w:rsid w:val="00B916AD"/>
    <w:rsid w:val="00B91D89"/>
    <w:rsid w:val="00B9542D"/>
    <w:rsid w:val="00BA0202"/>
    <w:rsid w:val="00BA413A"/>
    <w:rsid w:val="00BA578F"/>
    <w:rsid w:val="00BA5E6D"/>
    <w:rsid w:val="00BA6A13"/>
    <w:rsid w:val="00BA6BAE"/>
    <w:rsid w:val="00BA7CB2"/>
    <w:rsid w:val="00BB0912"/>
    <w:rsid w:val="00BB5798"/>
    <w:rsid w:val="00BC1983"/>
    <w:rsid w:val="00BC29C5"/>
    <w:rsid w:val="00BC2C76"/>
    <w:rsid w:val="00BC6DB2"/>
    <w:rsid w:val="00BD3EFC"/>
    <w:rsid w:val="00BD463D"/>
    <w:rsid w:val="00BD4ED5"/>
    <w:rsid w:val="00BD52BE"/>
    <w:rsid w:val="00BE3E3D"/>
    <w:rsid w:val="00BF1128"/>
    <w:rsid w:val="00BF1EED"/>
    <w:rsid w:val="00BF2E97"/>
    <w:rsid w:val="00BF4394"/>
    <w:rsid w:val="00BF5895"/>
    <w:rsid w:val="00BF695A"/>
    <w:rsid w:val="00C019A8"/>
    <w:rsid w:val="00C024E6"/>
    <w:rsid w:val="00C04472"/>
    <w:rsid w:val="00C04CF9"/>
    <w:rsid w:val="00C053DA"/>
    <w:rsid w:val="00C1497F"/>
    <w:rsid w:val="00C150E9"/>
    <w:rsid w:val="00C312D5"/>
    <w:rsid w:val="00C33DAB"/>
    <w:rsid w:val="00C44553"/>
    <w:rsid w:val="00C450AE"/>
    <w:rsid w:val="00C514E4"/>
    <w:rsid w:val="00C57FA9"/>
    <w:rsid w:val="00C62DE3"/>
    <w:rsid w:val="00C636AB"/>
    <w:rsid w:val="00C638F4"/>
    <w:rsid w:val="00C67739"/>
    <w:rsid w:val="00C7031D"/>
    <w:rsid w:val="00C73D25"/>
    <w:rsid w:val="00CA414B"/>
    <w:rsid w:val="00CA4223"/>
    <w:rsid w:val="00CB0DE9"/>
    <w:rsid w:val="00CB3870"/>
    <w:rsid w:val="00CB3D97"/>
    <w:rsid w:val="00CB429C"/>
    <w:rsid w:val="00CB6FEC"/>
    <w:rsid w:val="00CB72EA"/>
    <w:rsid w:val="00CC140B"/>
    <w:rsid w:val="00CC36E5"/>
    <w:rsid w:val="00CD02A3"/>
    <w:rsid w:val="00CD566C"/>
    <w:rsid w:val="00CD5BB5"/>
    <w:rsid w:val="00CD6FF7"/>
    <w:rsid w:val="00CE38EF"/>
    <w:rsid w:val="00CE3955"/>
    <w:rsid w:val="00CF0973"/>
    <w:rsid w:val="00CF7D99"/>
    <w:rsid w:val="00D00BF7"/>
    <w:rsid w:val="00D01EE3"/>
    <w:rsid w:val="00D043AD"/>
    <w:rsid w:val="00D05210"/>
    <w:rsid w:val="00D12786"/>
    <w:rsid w:val="00D15A65"/>
    <w:rsid w:val="00D168A1"/>
    <w:rsid w:val="00D233E9"/>
    <w:rsid w:val="00D23E3C"/>
    <w:rsid w:val="00D2631B"/>
    <w:rsid w:val="00D3411A"/>
    <w:rsid w:val="00D34E75"/>
    <w:rsid w:val="00D36854"/>
    <w:rsid w:val="00D37550"/>
    <w:rsid w:val="00D3755F"/>
    <w:rsid w:val="00D376FE"/>
    <w:rsid w:val="00D41B1F"/>
    <w:rsid w:val="00D42039"/>
    <w:rsid w:val="00D45439"/>
    <w:rsid w:val="00D454F3"/>
    <w:rsid w:val="00D571E1"/>
    <w:rsid w:val="00D63649"/>
    <w:rsid w:val="00D638D2"/>
    <w:rsid w:val="00D67977"/>
    <w:rsid w:val="00D70B98"/>
    <w:rsid w:val="00D71D25"/>
    <w:rsid w:val="00D74FF5"/>
    <w:rsid w:val="00D81B51"/>
    <w:rsid w:val="00D919A7"/>
    <w:rsid w:val="00DA2E28"/>
    <w:rsid w:val="00DA38E7"/>
    <w:rsid w:val="00DA4F40"/>
    <w:rsid w:val="00DB0812"/>
    <w:rsid w:val="00DB2D05"/>
    <w:rsid w:val="00DB6FBB"/>
    <w:rsid w:val="00DC324B"/>
    <w:rsid w:val="00DC5F6B"/>
    <w:rsid w:val="00DD65EB"/>
    <w:rsid w:val="00DD7288"/>
    <w:rsid w:val="00DE21FC"/>
    <w:rsid w:val="00DE2A17"/>
    <w:rsid w:val="00DE5ADE"/>
    <w:rsid w:val="00DF09C4"/>
    <w:rsid w:val="00DF1A7F"/>
    <w:rsid w:val="00DF2B90"/>
    <w:rsid w:val="00DF4EF9"/>
    <w:rsid w:val="00DF5063"/>
    <w:rsid w:val="00E02842"/>
    <w:rsid w:val="00E03CE8"/>
    <w:rsid w:val="00E0436D"/>
    <w:rsid w:val="00E05607"/>
    <w:rsid w:val="00E12660"/>
    <w:rsid w:val="00E146D4"/>
    <w:rsid w:val="00E21265"/>
    <w:rsid w:val="00E33E03"/>
    <w:rsid w:val="00E3578A"/>
    <w:rsid w:val="00E4268D"/>
    <w:rsid w:val="00E44E4D"/>
    <w:rsid w:val="00E4532F"/>
    <w:rsid w:val="00E45671"/>
    <w:rsid w:val="00E45821"/>
    <w:rsid w:val="00E46ADA"/>
    <w:rsid w:val="00E46FC6"/>
    <w:rsid w:val="00E47058"/>
    <w:rsid w:val="00E6476F"/>
    <w:rsid w:val="00E64F12"/>
    <w:rsid w:val="00E65E27"/>
    <w:rsid w:val="00E71606"/>
    <w:rsid w:val="00E74A28"/>
    <w:rsid w:val="00E75279"/>
    <w:rsid w:val="00E76242"/>
    <w:rsid w:val="00E84C88"/>
    <w:rsid w:val="00E86254"/>
    <w:rsid w:val="00E936E3"/>
    <w:rsid w:val="00E94E0D"/>
    <w:rsid w:val="00E95554"/>
    <w:rsid w:val="00E95F8F"/>
    <w:rsid w:val="00EA13AC"/>
    <w:rsid w:val="00EA1DB3"/>
    <w:rsid w:val="00EA1EDB"/>
    <w:rsid w:val="00EA3887"/>
    <w:rsid w:val="00EB13E9"/>
    <w:rsid w:val="00EB1F46"/>
    <w:rsid w:val="00EB6BBE"/>
    <w:rsid w:val="00ED151F"/>
    <w:rsid w:val="00ED240D"/>
    <w:rsid w:val="00ED293C"/>
    <w:rsid w:val="00ED3E1A"/>
    <w:rsid w:val="00EE0766"/>
    <w:rsid w:val="00EE083C"/>
    <w:rsid w:val="00EE1F4F"/>
    <w:rsid w:val="00EE423D"/>
    <w:rsid w:val="00EE62BA"/>
    <w:rsid w:val="00EE70CB"/>
    <w:rsid w:val="00EE7316"/>
    <w:rsid w:val="00EF4C40"/>
    <w:rsid w:val="00EF7A4A"/>
    <w:rsid w:val="00F00393"/>
    <w:rsid w:val="00F01AF5"/>
    <w:rsid w:val="00F039AF"/>
    <w:rsid w:val="00F14192"/>
    <w:rsid w:val="00F15DC6"/>
    <w:rsid w:val="00F15E0F"/>
    <w:rsid w:val="00F16DFC"/>
    <w:rsid w:val="00F21480"/>
    <w:rsid w:val="00F301AC"/>
    <w:rsid w:val="00F32415"/>
    <w:rsid w:val="00F33E75"/>
    <w:rsid w:val="00F34AEF"/>
    <w:rsid w:val="00F42248"/>
    <w:rsid w:val="00F437A6"/>
    <w:rsid w:val="00F50248"/>
    <w:rsid w:val="00F50310"/>
    <w:rsid w:val="00F51A27"/>
    <w:rsid w:val="00F53EE0"/>
    <w:rsid w:val="00F55F92"/>
    <w:rsid w:val="00F56F72"/>
    <w:rsid w:val="00F62748"/>
    <w:rsid w:val="00F6508F"/>
    <w:rsid w:val="00F67B10"/>
    <w:rsid w:val="00F67BF4"/>
    <w:rsid w:val="00F74C88"/>
    <w:rsid w:val="00F775A7"/>
    <w:rsid w:val="00F807FA"/>
    <w:rsid w:val="00F81FDB"/>
    <w:rsid w:val="00F82720"/>
    <w:rsid w:val="00F922E9"/>
    <w:rsid w:val="00F93799"/>
    <w:rsid w:val="00F96BAD"/>
    <w:rsid w:val="00FA188F"/>
    <w:rsid w:val="00FA5392"/>
    <w:rsid w:val="00FA56B0"/>
    <w:rsid w:val="00FB2ADB"/>
    <w:rsid w:val="00FB2C82"/>
    <w:rsid w:val="00FB4962"/>
    <w:rsid w:val="00FB5CD9"/>
    <w:rsid w:val="00FC0647"/>
    <w:rsid w:val="00FC07F7"/>
    <w:rsid w:val="00FC2E73"/>
    <w:rsid w:val="00FC4037"/>
    <w:rsid w:val="00FC5476"/>
    <w:rsid w:val="00FC792B"/>
    <w:rsid w:val="00FD06C2"/>
    <w:rsid w:val="00FD201F"/>
    <w:rsid w:val="00FD388C"/>
    <w:rsid w:val="00FD523E"/>
    <w:rsid w:val="00FD6A89"/>
    <w:rsid w:val="00FE23DC"/>
    <w:rsid w:val="00FF2050"/>
    <w:rsid w:val="00FF39DE"/>
    <w:rsid w:val="00FF5619"/>
    <w:rsid w:val="00FF75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3C47CB"/>
  <w15:chartTrackingRefBased/>
  <w15:docId w15:val="{D5C695E6-0338-4DEA-9F9C-06D0AF5A5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20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20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F205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5292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05292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205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F205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F2050"/>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FD6A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A89"/>
    <w:rPr>
      <w:rFonts w:ascii="Segoe UI" w:hAnsi="Segoe UI" w:cs="Segoe UI"/>
      <w:sz w:val="18"/>
      <w:szCs w:val="18"/>
    </w:rPr>
  </w:style>
  <w:style w:type="paragraph" w:styleId="ListParagraph">
    <w:name w:val="List Paragraph"/>
    <w:basedOn w:val="Normal"/>
    <w:uiPriority w:val="34"/>
    <w:qFormat/>
    <w:rsid w:val="00FD6A89"/>
    <w:pPr>
      <w:ind w:left="720"/>
      <w:contextualSpacing/>
    </w:pPr>
  </w:style>
  <w:style w:type="paragraph" w:customStyle="1" w:styleId="Simplenumbering">
    <w:name w:val="Simple numbering"/>
    <w:basedOn w:val="Normal"/>
    <w:rsid w:val="00391658"/>
    <w:pPr>
      <w:spacing w:before="240" w:after="0" w:line="240" w:lineRule="auto"/>
    </w:pPr>
    <w:rPr>
      <w:rFonts w:ascii="Verdana" w:hAnsi="Verdana" w:cs="Calibri"/>
      <w:sz w:val="20"/>
      <w:szCs w:val="20"/>
    </w:rPr>
  </w:style>
  <w:style w:type="paragraph" w:styleId="NoSpacing">
    <w:name w:val="No Spacing"/>
    <w:uiPriority w:val="1"/>
    <w:qFormat/>
    <w:rsid w:val="00E4532F"/>
    <w:pPr>
      <w:spacing w:after="0" w:line="240" w:lineRule="auto"/>
    </w:pPr>
  </w:style>
  <w:style w:type="paragraph" w:styleId="FootnoteText">
    <w:name w:val="footnote text"/>
    <w:aliases w:val="ft,fn,footnote text,Footnotes,Footnote ak,fn cafc,Footnote Text Char1,fn Char Char,footnote text Char Char,Footnotes Char Char,Footnote ak Char Char,footnote text Char Char Char Ch,VBB Footnote Text,C,f,Car,Footnote Text1,Fußnotentextf"/>
    <w:basedOn w:val="Normal"/>
    <w:link w:val="FootnoteTextChar"/>
    <w:unhideWhenUsed/>
    <w:qFormat/>
    <w:rsid w:val="00390A4F"/>
    <w:pPr>
      <w:spacing w:after="0" w:line="240" w:lineRule="auto"/>
    </w:pPr>
    <w:rPr>
      <w:sz w:val="20"/>
      <w:szCs w:val="20"/>
    </w:rPr>
  </w:style>
  <w:style w:type="character" w:customStyle="1" w:styleId="FootnoteTextChar">
    <w:name w:val="Footnote Text Char"/>
    <w:aliases w:val="ft Char,fn Char,footnote text Char,Footnotes Char,Footnote ak Char,fn cafc Char,Footnote Text Char1 Char,fn Char Char Char,footnote text Char Char Char,Footnotes Char Char Char,Footnote ak Char Char Char,VBB Footnote Text Char,C Char"/>
    <w:basedOn w:val="DefaultParagraphFont"/>
    <w:link w:val="FootnoteText"/>
    <w:rsid w:val="00390A4F"/>
    <w:rPr>
      <w:sz w:val="20"/>
      <w:szCs w:val="20"/>
    </w:rPr>
  </w:style>
  <w:style w:type="character" w:styleId="FootnoteReference">
    <w:name w:val="footnote reference"/>
    <w:aliases w:val="Ref,de nota al pie,註腳內容,de nota al pie + (Asian) MS Mincho,11 pt,Footnote Reference1,Ref1,de nota al pie1,註?腳Ò®é»,11 p,註?腳內—e,fr,Footnote Refernece,BVI fnr,callout,16 Point,Superscript 6 Point,Footnote Reference Superscript,number"/>
    <w:basedOn w:val="DefaultParagraphFont"/>
    <w:unhideWhenUsed/>
    <w:qFormat/>
    <w:rsid w:val="00390A4F"/>
    <w:rPr>
      <w:vertAlign w:val="superscript"/>
    </w:rPr>
  </w:style>
  <w:style w:type="paragraph" w:styleId="NormalWeb">
    <w:name w:val="Normal (Web)"/>
    <w:basedOn w:val="Normal"/>
    <w:uiPriority w:val="99"/>
    <w:unhideWhenUsed/>
    <w:rsid w:val="00E64F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rm">
    <w:name w:val="norm"/>
    <w:basedOn w:val="Normal"/>
    <w:rsid w:val="00CC36E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rsid w:val="003E16DB"/>
    <w:rPr>
      <w:color w:val="0000FF"/>
      <w:u w:val="single"/>
    </w:rPr>
  </w:style>
  <w:style w:type="paragraph" w:customStyle="1" w:styleId="Default">
    <w:name w:val="Default"/>
    <w:rsid w:val="00AA2EA0"/>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AC2AAE"/>
  </w:style>
  <w:style w:type="character" w:styleId="Emphasis">
    <w:name w:val="Emphasis"/>
    <w:basedOn w:val="DefaultParagraphFont"/>
    <w:uiPriority w:val="20"/>
    <w:qFormat/>
    <w:rsid w:val="00AC2AAE"/>
    <w:rPr>
      <w:i/>
      <w:iCs/>
    </w:rPr>
  </w:style>
  <w:style w:type="character" w:styleId="Strong">
    <w:name w:val="Strong"/>
    <w:basedOn w:val="DefaultParagraphFont"/>
    <w:uiPriority w:val="22"/>
    <w:qFormat/>
    <w:rsid w:val="00AC2AAE"/>
    <w:rPr>
      <w:b/>
      <w:bCs/>
    </w:rPr>
  </w:style>
  <w:style w:type="paragraph" w:customStyle="1" w:styleId="para">
    <w:name w:val="para"/>
    <w:basedOn w:val="Normal"/>
    <w:rsid w:val="0038047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321FEF"/>
    <w:rPr>
      <w:color w:val="605E5C"/>
      <w:shd w:val="clear" w:color="auto" w:fill="E1DFDD"/>
    </w:rPr>
  </w:style>
  <w:style w:type="character" w:styleId="FollowedHyperlink">
    <w:name w:val="FollowedHyperlink"/>
    <w:basedOn w:val="DefaultParagraphFont"/>
    <w:uiPriority w:val="99"/>
    <w:semiHidden/>
    <w:unhideWhenUsed/>
    <w:rsid w:val="002B0C40"/>
    <w:rPr>
      <w:color w:val="954F72" w:themeColor="followedHyperlink"/>
      <w:u w:val="single"/>
    </w:rPr>
  </w:style>
  <w:style w:type="paragraph" w:styleId="PlainText">
    <w:name w:val="Plain Text"/>
    <w:basedOn w:val="Normal"/>
    <w:link w:val="PlainTextChar"/>
    <w:semiHidden/>
    <w:unhideWhenUsed/>
    <w:rsid w:val="00D71D2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D71D25"/>
    <w:rPr>
      <w:rFonts w:ascii="Courier New" w:eastAsia="Times New Roman" w:hAnsi="Courier New" w:cs="Courier New"/>
      <w:sz w:val="20"/>
      <w:szCs w:val="20"/>
    </w:rPr>
  </w:style>
  <w:style w:type="paragraph" w:customStyle="1" w:styleId="INSOLstyletext">
    <w:name w:val="INSOL style text"/>
    <w:basedOn w:val="Normal"/>
    <w:next w:val="Normal"/>
    <w:qFormat/>
    <w:rsid w:val="00BA7CB2"/>
    <w:pPr>
      <w:spacing w:after="0" w:line="240" w:lineRule="auto"/>
      <w:ind w:left="708"/>
    </w:pPr>
    <w:rPr>
      <w:rFonts w:ascii="Arial" w:eastAsiaTheme="minorEastAsia" w:hAnsi="Arial" w:cs="Arial"/>
      <w:u w:color="FF0000"/>
      <w:lang w:val="en-GB"/>
    </w:rPr>
  </w:style>
  <w:style w:type="character" w:customStyle="1" w:styleId="Heading4Char">
    <w:name w:val="Heading 4 Char"/>
    <w:basedOn w:val="DefaultParagraphFont"/>
    <w:link w:val="Heading4"/>
    <w:uiPriority w:val="9"/>
    <w:rsid w:val="0005292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052925"/>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4028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8E7"/>
  </w:style>
  <w:style w:type="paragraph" w:styleId="Footer">
    <w:name w:val="footer"/>
    <w:basedOn w:val="Normal"/>
    <w:link w:val="FooterChar"/>
    <w:uiPriority w:val="99"/>
    <w:unhideWhenUsed/>
    <w:rsid w:val="00402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8E7"/>
  </w:style>
  <w:style w:type="paragraph" w:customStyle="1" w:styleId="Normalsinglespace">
    <w:name w:val="Normal single space"/>
    <w:basedOn w:val="Normal"/>
    <w:rsid w:val="00796A98"/>
    <w:pPr>
      <w:spacing w:after="0" w:line="240" w:lineRule="auto"/>
      <w:ind w:left="720"/>
      <w:jc w:val="both"/>
    </w:pPr>
    <w:rPr>
      <w:rFonts w:ascii="Times New Roman" w:eastAsia="Times New Roman" w:hAnsi="Times New Roman" w:cs="Times New Roman"/>
      <w:sz w:val="24"/>
      <w:szCs w:val="20"/>
    </w:rPr>
  </w:style>
  <w:style w:type="character" w:customStyle="1" w:styleId="italic">
    <w:name w:val="italic"/>
    <w:basedOn w:val="DefaultParagraphFont"/>
    <w:rsid w:val="008E0EA3"/>
  </w:style>
  <w:style w:type="paragraph" w:customStyle="1" w:styleId="pxjrlan">
    <w:name w:val="px.jrla.n"/>
    <w:next w:val="Normal"/>
    <w:uiPriority w:val="99"/>
    <w:rsid w:val="00BF1EED"/>
    <w:pPr>
      <w:widowControl w:val="0"/>
      <w:autoSpaceDE w:val="0"/>
      <w:autoSpaceDN w:val="0"/>
      <w:adjustRightInd w:val="0"/>
      <w:spacing w:after="0" w:line="240" w:lineRule="auto"/>
    </w:pPr>
    <w:rPr>
      <w:rFonts w:ascii="Times NewRoman" w:eastAsiaTheme="minorEastAsia" w:hAnsi="Times NewRoman" w:cs="Times New Roman"/>
      <w:sz w:val="24"/>
      <w:szCs w:val="24"/>
      <w:lang w:val="en-US"/>
    </w:rPr>
  </w:style>
  <w:style w:type="paragraph" w:styleId="EndnoteText">
    <w:name w:val="endnote text"/>
    <w:basedOn w:val="Normal"/>
    <w:link w:val="EndnoteTextChar"/>
    <w:uiPriority w:val="99"/>
    <w:semiHidden/>
    <w:unhideWhenUsed/>
    <w:rsid w:val="008C1AF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C1AF9"/>
    <w:rPr>
      <w:sz w:val="20"/>
      <w:szCs w:val="20"/>
    </w:rPr>
  </w:style>
  <w:style w:type="character" w:styleId="EndnoteReference">
    <w:name w:val="endnote reference"/>
    <w:basedOn w:val="DefaultParagraphFont"/>
    <w:uiPriority w:val="99"/>
    <w:semiHidden/>
    <w:unhideWhenUsed/>
    <w:rsid w:val="008C1A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88030">
      <w:bodyDiv w:val="1"/>
      <w:marLeft w:val="0"/>
      <w:marRight w:val="0"/>
      <w:marTop w:val="0"/>
      <w:marBottom w:val="0"/>
      <w:divBdr>
        <w:top w:val="none" w:sz="0" w:space="0" w:color="auto"/>
        <w:left w:val="none" w:sz="0" w:space="0" w:color="auto"/>
        <w:bottom w:val="none" w:sz="0" w:space="0" w:color="auto"/>
        <w:right w:val="none" w:sz="0" w:space="0" w:color="auto"/>
      </w:divBdr>
    </w:div>
    <w:div w:id="263853970">
      <w:bodyDiv w:val="1"/>
      <w:marLeft w:val="0"/>
      <w:marRight w:val="0"/>
      <w:marTop w:val="0"/>
      <w:marBottom w:val="0"/>
      <w:divBdr>
        <w:top w:val="none" w:sz="0" w:space="0" w:color="auto"/>
        <w:left w:val="none" w:sz="0" w:space="0" w:color="auto"/>
        <w:bottom w:val="none" w:sz="0" w:space="0" w:color="auto"/>
        <w:right w:val="none" w:sz="0" w:space="0" w:color="auto"/>
      </w:divBdr>
    </w:div>
    <w:div w:id="432870474">
      <w:bodyDiv w:val="1"/>
      <w:marLeft w:val="0"/>
      <w:marRight w:val="0"/>
      <w:marTop w:val="0"/>
      <w:marBottom w:val="0"/>
      <w:divBdr>
        <w:top w:val="none" w:sz="0" w:space="0" w:color="auto"/>
        <w:left w:val="none" w:sz="0" w:space="0" w:color="auto"/>
        <w:bottom w:val="none" w:sz="0" w:space="0" w:color="auto"/>
        <w:right w:val="none" w:sz="0" w:space="0" w:color="auto"/>
      </w:divBdr>
    </w:div>
    <w:div w:id="444230528">
      <w:bodyDiv w:val="1"/>
      <w:marLeft w:val="0"/>
      <w:marRight w:val="0"/>
      <w:marTop w:val="0"/>
      <w:marBottom w:val="0"/>
      <w:divBdr>
        <w:top w:val="none" w:sz="0" w:space="0" w:color="auto"/>
        <w:left w:val="none" w:sz="0" w:space="0" w:color="auto"/>
        <w:bottom w:val="none" w:sz="0" w:space="0" w:color="auto"/>
        <w:right w:val="none" w:sz="0" w:space="0" w:color="auto"/>
      </w:divBdr>
      <w:divsChild>
        <w:div w:id="517088682">
          <w:marLeft w:val="360"/>
          <w:marRight w:val="0"/>
          <w:marTop w:val="200"/>
          <w:marBottom w:val="0"/>
          <w:divBdr>
            <w:top w:val="none" w:sz="0" w:space="0" w:color="auto"/>
            <w:left w:val="none" w:sz="0" w:space="0" w:color="auto"/>
            <w:bottom w:val="none" w:sz="0" w:space="0" w:color="auto"/>
            <w:right w:val="none" w:sz="0" w:space="0" w:color="auto"/>
          </w:divBdr>
        </w:div>
        <w:div w:id="1048532364">
          <w:marLeft w:val="1080"/>
          <w:marRight w:val="0"/>
          <w:marTop w:val="100"/>
          <w:marBottom w:val="0"/>
          <w:divBdr>
            <w:top w:val="none" w:sz="0" w:space="0" w:color="auto"/>
            <w:left w:val="none" w:sz="0" w:space="0" w:color="auto"/>
            <w:bottom w:val="none" w:sz="0" w:space="0" w:color="auto"/>
            <w:right w:val="none" w:sz="0" w:space="0" w:color="auto"/>
          </w:divBdr>
        </w:div>
        <w:div w:id="1044020904">
          <w:marLeft w:val="1080"/>
          <w:marRight w:val="0"/>
          <w:marTop w:val="100"/>
          <w:marBottom w:val="0"/>
          <w:divBdr>
            <w:top w:val="none" w:sz="0" w:space="0" w:color="auto"/>
            <w:left w:val="none" w:sz="0" w:space="0" w:color="auto"/>
            <w:bottom w:val="none" w:sz="0" w:space="0" w:color="auto"/>
            <w:right w:val="none" w:sz="0" w:space="0" w:color="auto"/>
          </w:divBdr>
        </w:div>
        <w:div w:id="507720215">
          <w:marLeft w:val="2160"/>
          <w:marRight w:val="0"/>
          <w:marTop w:val="100"/>
          <w:marBottom w:val="0"/>
          <w:divBdr>
            <w:top w:val="none" w:sz="0" w:space="0" w:color="auto"/>
            <w:left w:val="none" w:sz="0" w:space="0" w:color="auto"/>
            <w:bottom w:val="none" w:sz="0" w:space="0" w:color="auto"/>
            <w:right w:val="none" w:sz="0" w:space="0" w:color="auto"/>
          </w:divBdr>
        </w:div>
        <w:div w:id="28187131">
          <w:marLeft w:val="2160"/>
          <w:marRight w:val="0"/>
          <w:marTop w:val="100"/>
          <w:marBottom w:val="0"/>
          <w:divBdr>
            <w:top w:val="none" w:sz="0" w:space="0" w:color="auto"/>
            <w:left w:val="none" w:sz="0" w:space="0" w:color="auto"/>
            <w:bottom w:val="none" w:sz="0" w:space="0" w:color="auto"/>
            <w:right w:val="none" w:sz="0" w:space="0" w:color="auto"/>
          </w:divBdr>
        </w:div>
        <w:div w:id="1242830628">
          <w:marLeft w:val="2160"/>
          <w:marRight w:val="0"/>
          <w:marTop w:val="100"/>
          <w:marBottom w:val="0"/>
          <w:divBdr>
            <w:top w:val="none" w:sz="0" w:space="0" w:color="auto"/>
            <w:left w:val="none" w:sz="0" w:space="0" w:color="auto"/>
            <w:bottom w:val="none" w:sz="0" w:space="0" w:color="auto"/>
            <w:right w:val="none" w:sz="0" w:space="0" w:color="auto"/>
          </w:divBdr>
        </w:div>
        <w:div w:id="1546983248">
          <w:marLeft w:val="2160"/>
          <w:marRight w:val="0"/>
          <w:marTop w:val="100"/>
          <w:marBottom w:val="0"/>
          <w:divBdr>
            <w:top w:val="none" w:sz="0" w:space="0" w:color="auto"/>
            <w:left w:val="none" w:sz="0" w:space="0" w:color="auto"/>
            <w:bottom w:val="none" w:sz="0" w:space="0" w:color="auto"/>
            <w:right w:val="none" w:sz="0" w:space="0" w:color="auto"/>
          </w:divBdr>
        </w:div>
        <w:div w:id="1826169530">
          <w:marLeft w:val="360"/>
          <w:marRight w:val="0"/>
          <w:marTop w:val="200"/>
          <w:marBottom w:val="0"/>
          <w:divBdr>
            <w:top w:val="none" w:sz="0" w:space="0" w:color="auto"/>
            <w:left w:val="none" w:sz="0" w:space="0" w:color="auto"/>
            <w:bottom w:val="none" w:sz="0" w:space="0" w:color="auto"/>
            <w:right w:val="none" w:sz="0" w:space="0" w:color="auto"/>
          </w:divBdr>
        </w:div>
        <w:div w:id="854854063">
          <w:marLeft w:val="360"/>
          <w:marRight w:val="0"/>
          <w:marTop w:val="200"/>
          <w:marBottom w:val="0"/>
          <w:divBdr>
            <w:top w:val="none" w:sz="0" w:space="0" w:color="auto"/>
            <w:left w:val="none" w:sz="0" w:space="0" w:color="auto"/>
            <w:bottom w:val="none" w:sz="0" w:space="0" w:color="auto"/>
            <w:right w:val="none" w:sz="0" w:space="0" w:color="auto"/>
          </w:divBdr>
        </w:div>
      </w:divsChild>
    </w:div>
    <w:div w:id="584846188">
      <w:bodyDiv w:val="1"/>
      <w:marLeft w:val="0"/>
      <w:marRight w:val="0"/>
      <w:marTop w:val="0"/>
      <w:marBottom w:val="0"/>
      <w:divBdr>
        <w:top w:val="none" w:sz="0" w:space="0" w:color="auto"/>
        <w:left w:val="none" w:sz="0" w:space="0" w:color="auto"/>
        <w:bottom w:val="none" w:sz="0" w:space="0" w:color="auto"/>
        <w:right w:val="none" w:sz="0" w:space="0" w:color="auto"/>
      </w:divBdr>
      <w:divsChild>
        <w:div w:id="2037922366">
          <w:marLeft w:val="360"/>
          <w:marRight w:val="0"/>
          <w:marTop w:val="200"/>
          <w:marBottom w:val="0"/>
          <w:divBdr>
            <w:top w:val="none" w:sz="0" w:space="0" w:color="auto"/>
            <w:left w:val="none" w:sz="0" w:space="0" w:color="auto"/>
            <w:bottom w:val="none" w:sz="0" w:space="0" w:color="auto"/>
            <w:right w:val="none" w:sz="0" w:space="0" w:color="auto"/>
          </w:divBdr>
        </w:div>
        <w:div w:id="1670795404">
          <w:marLeft w:val="1080"/>
          <w:marRight w:val="0"/>
          <w:marTop w:val="100"/>
          <w:marBottom w:val="0"/>
          <w:divBdr>
            <w:top w:val="none" w:sz="0" w:space="0" w:color="auto"/>
            <w:left w:val="none" w:sz="0" w:space="0" w:color="auto"/>
            <w:bottom w:val="none" w:sz="0" w:space="0" w:color="auto"/>
            <w:right w:val="none" w:sz="0" w:space="0" w:color="auto"/>
          </w:divBdr>
        </w:div>
        <w:div w:id="225722985">
          <w:marLeft w:val="1080"/>
          <w:marRight w:val="0"/>
          <w:marTop w:val="100"/>
          <w:marBottom w:val="0"/>
          <w:divBdr>
            <w:top w:val="none" w:sz="0" w:space="0" w:color="auto"/>
            <w:left w:val="none" w:sz="0" w:space="0" w:color="auto"/>
            <w:bottom w:val="none" w:sz="0" w:space="0" w:color="auto"/>
            <w:right w:val="none" w:sz="0" w:space="0" w:color="auto"/>
          </w:divBdr>
        </w:div>
        <w:div w:id="359018833">
          <w:marLeft w:val="2160"/>
          <w:marRight w:val="0"/>
          <w:marTop w:val="100"/>
          <w:marBottom w:val="0"/>
          <w:divBdr>
            <w:top w:val="none" w:sz="0" w:space="0" w:color="auto"/>
            <w:left w:val="none" w:sz="0" w:space="0" w:color="auto"/>
            <w:bottom w:val="none" w:sz="0" w:space="0" w:color="auto"/>
            <w:right w:val="none" w:sz="0" w:space="0" w:color="auto"/>
          </w:divBdr>
        </w:div>
        <w:div w:id="1010839648">
          <w:marLeft w:val="2160"/>
          <w:marRight w:val="0"/>
          <w:marTop w:val="100"/>
          <w:marBottom w:val="0"/>
          <w:divBdr>
            <w:top w:val="none" w:sz="0" w:space="0" w:color="auto"/>
            <w:left w:val="none" w:sz="0" w:space="0" w:color="auto"/>
            <w:bottom w:val="none" w:sz="0" w:space="0" w:color="auto"/>
            <w:right w:val="none" w:sz="0" w:space="0" w:color="auto"/>
          </w:divBdr>
        </w:div>
        <w:div w:id="1950501636">
          <w:marLeft w:val="2160"/>
          <w:marRight w:val="0"/>
          <w:marTop w:val="100"/>
          <w:marBottom w:val="0"/>
          <w:divBdr>
            <w:top w:val="none" w:sz="0" w:space="0" w:color="auto"/>
            <w:left w:val="none" w:sz="0" w:space="0" w:color="auto"/>
            <w:bottom w:val="none" w:sz="0" w:space="0" w:color="auto"/>
            <w:right w:val="none" w:sz="0" w:space="0" w:color="auto"/>
          </w:divBdr>
        </w:div>
        <w:div w:id="911278870">
          <w:marLeft w:val="2160"/>
          <w:marRight w:val="0"/>
          <w:marTop w:val="100"/>
          <w:marBottom w:val="0"/>
          <w:divBdr>
            <w:top w:val="none" w:sz="0" w:space="0" w:color="auto"/>
            <w:left w:val="none" w:sz="0" w:space="0" w:color="auto"/>
            <w:bottom w:val="none" w:sz="0" w:space="0" w:color="auto"/>
            <w:right w:val="none" w:sz="0" w:space="0" w:color="auto"/>
          </w:divBdr>
        </w:div>
        <w:div w:id="1650402537">
          <w:marLeft w:val="360"/>
          <w:marRight w:val="0"/>
          <w:marTop w:val="200"/>
          <w:marBottom w:val="0"/>
          <w:divBdr>
            <w:top w:val="none" w:sz="0" w:space="0" w:color="auto"/>
            <w:left w:val="none" w:sz="0" w:space="0" w:color="auto"/>
            <w:bottom w:val="none" w:sz="0" w:space="0" w:color="auto"/>
            <w:right w:val="none" w:sz="0" w:space="0" w:color="auto"/>
          </w:divBdr>
        </w:div>
        <w:div w:id="1832211683">
          <w:marLeft w:val="360"/>
          <w:marRight w:val="0"/>
          <w:marTop w:val="200"/>
          <w:marBottom w:val="0"/>
          <w:divBdr>
            <w:top w:val="none" w:sz="0" w:space="0" w:color="auto"/>
            <w:left w:val="none" w:sz="0" w:space="0" w:color="auto"/>
            <w:bottom w:val="none" w:sz="0" w:space="0" w:color="auto"/>
            <w:right w:val="none" w:sz="0" w:space="0" w:color="auto"/>
          </w:divBdr>
        </w:div>
      </w:divsChild>
    </w:div>
    <w:div w:id="686904056">
      <w:bodyDiv w:val="1"/>
      <w:marLeft w:val="0"/>
      <w:marRight w:val="0"/>
      <w:marTop w:val="0"/>
      <w:marBottom w:val="0"/>
      <w:divBdr>
        <w:top w:val="none" w:sz="0" w:space="0" w:color="auto"/>
        <w:left w:val="none" w:sz="0" w:space="0" w:color="auto"/>
        <w:bottom w:val="none" w:sz="0" w:space="0" w:color="auto"/>
        <w:right w:val="none" w:sz="0" w:space="0" w:color="auto"/>
      </w:divBdr>
    </w:div>
    <w:div w:id="829832794">
      <w:bodyDiv w:val="1"/>
      <w:marLeft w:val="0"/>
      <w:marRight w:val="0"/>
      <w:marTop w:val="0"/>
      <w:marBottom w:val="0"/>
      <w:divBdr>
        <w:top w:val="none" w:sz="0" w:space="0" w:color="auto"/>
        <w:left w:val="none" w:sz="0" w:space="0" w:color="auto"/>
        <w:bottom w:val="none" w:sz="0" w:space="0" w:color="auto"/>
        <w:right w:val="none" w:sz="0" w:space="0" w:color="auto"/>
      </w:divBdr>
    </w:div>
    <w:div w:id="1150488356">
      <w:bodyDiv w:val="1"/>
      <w:marLeft w:val="0"/>
      <w:marRight w:val="0"/>
      <w:marTop w:val="0"/>
      <w:marBottom w:val="0"/>
      <w:divBdr>
        <w:top w:val="none" w:sz="0" w:space="0" w:color="auto"/>
        <w:left w:val="none" w:sz="0" w:space="0" w:color="auto"/>
        <w:bottom w:val="none" w:sz="0" w:space="0" w:color="auto"/>
        <w:right w:val="none" w:sz="0" w:space="0" w:color="auto"/>
      </w:divBdr>
      <w:divsChild>
        <w:div w:id="1701585304">
          <w:marLeft w:val="0"/>
          <w:marRight w:val="0"/>
          <w:marTop w:val="0"/>
          <w:marBottom w:val="0"/>
          <w:divBdr>
            <w:top w:val="none" w:sz="0" w:space="0" w:color="auto"/>
            <w:left w:val="none" w:sz="0" w:space="0" w:color="auto"/>
            <w:bottom w:val="none" w:sz="0" w:space="0" w:color="auto"/>
            <w:right w:val="none" w:sz="0" w:space="0" w:color="auto"/>
          </w:divBdr>
          <w:divsChild>
            <w:div w:id="1602372191">
              <w:marLeft w:val="0"/>
              <w:marRight w:val="0"/>
              <w:marTop w:val="0"/>
              <w:marBottom w:val="0"/>
              <w:divBdr>
                <w:top w:val="none" w:sz="0" w:space="0" w:color="auto"/>
                <w:left w:val="none" w:sz="0" w:space="0" w:color="auto"/>
                <w:bottom w:val="none" w:sz="0" w:space="0" w:color="auto"/>
                <w:right w:val="none" w:sz="0" w:space="0" w:color="auto"/>
              </w:divBdr>
              <w:divsChild>
                <w:div w:id="792944332">
                  <w:marLeft w:val="0"/>
                  <w:marRight w:val="0"/>
                  <w:marTop w:val="0"/>
                  <w:marBottom w:val="0"/>
                  <w:divBdr>
                    <w:top w:val="none" w:sz="0" w:space="0" w:color="auto"/>
                    <w:left w:val="none" w:sz="0" w:space="0" w:color="auto"/>
                    <w:bottom w:val="none" w:sz="0" w:space="0" w:color="auto"/>
                    <w:right w:val="none" w:sz="0" w:space="0" w:color="auto"/>
                  </w:divBdr>
                  <w:divsChild>
                    <w:div w:id="164789345">
                      <w:marLeft w:val="-225"/>
                      <w:marRight w:val="-225"/>
                      <w:marTop w:val="0"/>
                      <w:marBottom w:val="0"/>
                      <w:divBdr>
                        <w:top w:val="none" w:sz="0" w:space="0" w:color="auto"/>
                        <w:left w:val="none" w:sz="0" w:space="0" w:color="auto"/>
                        <w:bottom w:val="none" w:sz="0" w:space="0" w:color="auto"/>
                        <w:right w:val="none" w:sz="0" w:space="0" w:color="auto"/>
                      </w:divBdr>
                      <w:divsChild>
                        <w:div w:id="164128875">
                          <w:marLeft w:val="0"/>
                          <w:marRight w:val="0"/>
                          <w:marTop w:val="0"/>
                          <w:marBottom w:val="0"/>
                          <w:divBdr>
                            <w:top w:val="none" w:sz="0" w:space="0" w:color="auto"/>
                            <w:left w:val="none" w:sz="0" w:space="0" w:color="auto"/>
                            <w:bottom w:val="none" w:sz="0" w:space="0" w:color="auto"/>
                            <w:right w:val="none" w:sz="0" w:space="0" w:color="auto"/>
                          </w:divBdr>
                          <w:divsChild>
                            <w:div w:id="310910034">
                              <w:marLeft w:val="0"/>
                              <w:marRight w:val="0"/>
                              <w:marTop w:val="0"/>
                              <w:marBottom w:val="0"/>
                              <w:divBdr>
                                <w:top w:val="none" w:sz="0" w:space="0" w:color="auto"/>
                                <w:left w:val="none" w:sz="0" w:space="0" w:color="auto"/>
                                <w:bottom w:val="none" w:sz="0" w:space="0" w:color="auto"/>
                                <w:right w:val="none" w:sz="0" w:space="0" w:color="auto"/>
                              </w:divBdr>
                              <w:divsChild>
                                <w:div w:id="1116561892">
                                  <w:marLeft w:val="0"/>
                                  <w:marRight w:val="0"/>
                                  <w:marTop w:val="0"/>
                                  <w:marBottom w:val="0"/>
                                  <w:divBdr>
                                    <w:top w:val="none" w:sz="0" w:space="0" w:color="auto"/>
                                    <w:left w:val="none" w:sz="0" w:space="0" w:color="auto"/>
                                    <w:bottom w:val="none" w:sz="0" w:space="0" w:color="auto"/>
                                    <w:right w:val="none" w:sz="0" w:space="0" w:color="auto"/>
                                  </w:divBdr>
                                  <w:divsChild>
                                    <w:div w:id="101146562">
                                      <w:marLeft w:val="0"/>
                                      <w:marRight w:val="0"/>
                                      <w:marTop w:val="0"/>
                                      <w:marBottom w:val="0"/>
                                      <w:divBdr>
                                        <w:top w:val="none" w:sz="0" w:space="0" w:color="auto"/>
                                        <w:left w:val="none" w:sz="0" w:space="0" w:color="auto"/>
                                        <w:bottom w:val="none" w:sz="0" w:space="0" w:color="auto"/>
                                        <w:right w:val="none" w:sz="0" w:space="0" w:color="auto"/>
                                      </w:divBdr>
                                      <w:divsChild>
                                        <w:div w:id="1790466715">
                                          <w:marLeft w:val="0"/>
                                          <w:marRight w:val="0"/>
                                          <w:marTop w:val="0"/>
                                          <w:marBottom w:val="0"/>
                                          <w:divBdr>
                                            <w:top w:val="none" w:sz="0" w:space="0" w:color="auto"/>
                                            <w:left w:val="none" w:sz="0" w:space="0" w:color="auto"/>
                                            <w:bottom w:val="none" w:sz="0" w:space="0" w:color="auto"/>
                                            <w:right w:val="none" w:sz="0" w:space="0" w:color="auto"/>
                                          </w:divBdr>
                                          <w:divsChild>
                                            <w:div w:id="1711412725">
                                              <w:marLeft w:val="0"/>
                                              <w:marRight w:val="0"/>
                                              <w:marTop w:val="0"/>
                                              <w:marBottom w:val="0"/>
                                              <w:divBdr>
                                                <w:top w:val="none" w:sz="0" w:space="0" w:color="auto"/>
                                                <w:left w:val="none" w:sz="0" w:space="0" w:color="auto"/>
                                                <w:bottom w:val="none" w:sz="0" w:space="0" w:color="auto"/>
                                                <w:right w:val="none" w:sz="0" w:space="0" w:color="auto"/>
                                              </w:divBdr>
                                              <w:divsChild>
                                                <w:div w:id="14682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3357414">
      <w:bodyDiv w:val="1"/>
      <w:marLeft w:val="0"/>
      <w:marRight w:val="0"/>
      <w:marTop w:val="0"/>
      <w:marBottom w:val="0"/>
      <w:divBdr>
        <w:top w:val="none" w:sz="0" w:space="0" w:color="auto"/>
        <w:left w:val="none" w:sz="0" w:space="0" w:color="auto"/>
        <w:bottom w:val="none" w:sz="0" w:space="0" w:color="auto"/>
        <w:right w:val="none" w:sz="0" w:space="0" w:color="auto"/>
      </w:divBdr>
    </w:div>
    <w:div w:id="1187792225">
      <w:bodyDiv w:val="1"/>
      <w:marLeft w:val="0"/>
      <w:marRight w:val="0"/>
      <w:marTop w:val="0"/>
      <w:marBottom w:val="0"/>
      <w:divBdr>
        <w:top w:val="none" w:sz="0" w:space="0" w:color="auto"/>
        <w:left w:val="none" w:sz="0" w:space="0" w:color="auto"/>
        <w:bottom w:val="none" w:sz="0" w:space="0" w:color="auto"/>
        <w:right w:val="none" w:sz="0" w:space="0" w:color="auto"/>
      </w:divBdr>
      <w:divsChild>
        <w:div w:id="593904630">
          <w:marLeft w:val="360"/>
          <w:marRight w:val="0"/>
          <w:marTop w:val="200"/>
          <w:marBottom w:val="0"/>
          <w:divBdr>
            <w:top w:val="none" w:sz="0" w:space="0" w:color="auto"/>
            <w:left w:val="none" w:sz="0" w:space="0" w:color="auto"/>
            <w:bottom w:val="none" w:sz="0" w:space="0" w:color="auto"/>
            <w:right w:val="none" w:sz="0" w:space="0" w:color="auto"/>
          </w:divBdr>
        </w:div>
        <w:div w:id="789326891">
          <w:marLeft w:val="360"/>
          <w:marRight w:val="0"/>
          <w:marTop w:val="200"/>
          <w:marBottom w:val="0"/>
          <w:divBdr>
            <w:top w:val="none" w:sz="0" w:space="0" w:color="auto"/>
            <w:left w:val="none" w:sz="0" w:space="0" w:color="auto"/>
            <w:bottom w:val="none" w:sz="0" w:space="0" w:color="auto"/>
            <w:right w:val="none" w:sz="0" w:space="0" w:color="auto"/>
          </w:divBdr>
        </w:div>
        <w:div w:id="689991922">
          <w:marLeft w:val="1080"/>
          <w:marRight w:val="0"/>
          <w:marTop w:val="100"/>
          <w:marBottom w:val="0"/>
          <w:divBdr>
            <w:top w:val="none" w:sz="0" w:space="0" w:color="auto"/>
            <w:left w:val="none" w:sz="0" w:space="0" w:color="auto"/>
            <w:bottom w:val="none" w:sz="0" w:space="0" w:color="auto"/>
            <w:right w:val="none" w:sz="0" w:space="0" w:color="auto"/>
          </w:divBdr>
        </w:div>
        <w:div w:id="2013684129">
          <w:marLeft w:val="360"/>
          <w:marRight w:val="0"/>
          <w:marTop w:val="200"/>
          <w:marBottom w:val="0"/>
          <w:divBdr>
            <w:top w:val="none" w:sz="0" w:space="0" w:color="auto"/>
            <w:left w:val="none" w:sz="0" w:space="0" w:color="auto"/>
            <w:bottom w:val="none" w:sz="0" w:space="0" w:color="auto"/>
            <w:right w:val="none" w:sz="0" w:space="0" w:color="auto"/>
          </w:divBdr>
        </w:div>
        <w:div w:id="1550220510">
          <w:marLeft w:val="1080"/>
          <w:marRight w:val="0"/>
          <w:marTop w:val="100"/>
          <w:marBottom w:val="0"/>
          <w:divBdr>
            <w:top w:val="none" w:sz="0" w:space="0" w:color="auto"/>
            <w:left w:val="none" w:sz="0" w:space="0" w:color="auto"/>
            <w:bottom w:val="none" w:sz="0" w:space="0" w:color="auto"/>
            <w:right w:val="none" w:sz="0" w:space="0" w:color="auto"/>
          </w:divBdr>
        </w:div>
        <w:div w:id="494300588">
          <w:marLeft w:val="360"/>
          <w:marRight w:val="0"/>
          <w:marTop w:val="200"/>
          <w:marBottom w:val="0"/>
          <w:divBdr>
            <w:top w:val="none" w:sz="0" w:space="0" w:color="auto"/>
            <w:left w:val="none" w:sz="0" w:space="0" w:color="auto"/>
            <w:bottom w:val="none" w:sz="0" w:space="0" w:color="auto"/>
            <w:right w:val="none" w:sz="0" w:space="0" w:color="auto"/>
          </w:divBdr>
        </w:div>
        <w:div w:id="2117677512">
          <w:marLeft w:val="1080"/>
          <w:marRight w:val="0"/>
          <w:marTop w:val="100"/>
          <w:marBottom w:val="0"/>
          <w:divBdr>
            <w:top w:val="none" w:sz="0" w:space="0" w:color="auto"/>
            <w:left w:val="none" w:sz="0" w:space="0" w:color="auto"/>
            <w:bottom w:val="none" w:sz="0" w:space="0" w:color="auto"/>
            <w:right w:val="none" w:sz="0" w:space="0" w:color="auto"/>
          </w:divBdr>
        </w:div>
        <w:div w:id="1329207522">
          <w:marLeft w:val="1080"/>
          <w:marRight w:val="0"/>
          <w:marTop w:val="100"/>
          <w:marBottom w:val="0"/>
          <w:divBdr>
            <w:top w:val="none" w:sz="0" w:space="0" w:color="auto"/>
            <w:left w:val="none" w:sz="0" w:space="0" w:color="auto"/>
            <w:bottom w:val="none" w:sz="0" w:space="0" w:color="auto"/>
            <w:right w:val="none" w:sz="0" w:space="0" w:color="auto"/>
          </w:divBdr>
        </w:div>
        <w:div w:id="391924987">
          <w:marLeft w:val="1080"/>
          <w:marRight w:val="0"/>
          <w:marTop w:val="100"/>
          <w:marBottom w:val="0"/>
          <w:divBdr>
            <w:top w:val="none" w:sz="0" w:space="0" w:color="auto"/>
            <w:left w:val="none" w:sz="0" w:space="0" w:color="auto"/>
            <w:bottom w:val="none" w:sz="0" w:space="0" w:color="auto"/>
            <w:right w:val="none" w:sz="0" w:space="0" w:color="auto"/>
          </w:divBdr>
        </w:div>
      </w:divsChild>
    </w:div>
    <w:div w:id="1248467637">
      <w:bodyDiv w:val="1"/>
      <w:marLeft w:val="0"/>
      <w:marRight w:val="0"/>
      <w:marTop w:val="0"/>
      <w:marBottom w:val="0"/>
      <w:divBdr>
        <w:top w:val="none" w:sz="0" w:space="0" w:color="auto"/>
        <w:left w:val="none" w:sz="0" w:space="0" w:color="auto"/>
        <w:bottom w:val="none" w:sz="0" w:space="0" w:color="auto"/>
        <w:right w:val="none" w:sz="0" w:space="0" w:color="auto"/>
      </w:divBdr>
    </w:div>
    <w:div w:id="1339968634">
      <w:bodyDiv w:val="1"/>
      <w:marLeft w:val="0"/>
      <w:marRight w:val="0"/>
      <w:marTop w:val="0"/>
      <w:marBottom w:val="0"/>
      <w:divBdr>
        <w:top w:val="none" w:sz="0" w:space="0" w:color="auto"/>
        <w:left w:val="none" w:sz="0" w:space="0" w:color="auto"/>
        <w:bottom w:val="none" w:sz="0" w:space="0" w:color="auto"/>
        <w:right w:val="none" w:sz="0" w:space="0" w:color="auto"/>
      </w:divBdr>
      <w:divsChild>
        <w:div w:id="689641994">
          <w:marLeft w:val="360"/>
          <w:marRight w:val="0"/>
          <w:marTop w:val="200"/>
          <w:marBottom w:val="0"/>
          <w:divBdr>
            <w:top w:val="none" w:sz="0" w:space="0" w:color="auto"/>
            <w:left w:val="none" w:sz="0" w:space="0" w:color="auto"/>
            <w:bottom w:val="none" w:sz="0" w:space="0" w:color="auto"/>
            <w:right w:val="none" w:sz="0" w:space="0" w:color="auto"/>
          </w:divBdr>
        </w:div>
        <w:div w:id="1986280261">
          <w:marLeft w:val="1080"/>
          <w:marRight w:val="0"/>
          <w:marTop w:val="100"/>
          <w:marBottom w:val="0"/>
          <w:divBdr>
            <w:top w:val="none" w:sz="0" w:space="0" w:color="auto"/>
            <w:left w:val="none" w:sz="0" w:space="0" w:color="auto"/>
            <w:bottom w:val="none" w:sz="0" w:space="0" w:color="auto"/>
            <w:right w:val="none" w:sz="0" w:space="0" w:color="auto"/>
          </w:divBdr>
        </w:div>
      </w:divsChild>
    </w:div>
    <w:div w:id="1442800052">
      <w:bodyDiv w:val="1"/>
      <w:marLeft w:val="0"/>
      <w:marRight w:val="0"/>
      <w:marTop w:val="0"/>
      <w:marBottom w:val="0"/>
      <w:divBdr>
        <w:top w:val="none" w:sz="0" w:space="0" w:color="auto"/>
        <w:left w:val="none" w:sz="0" w:space="0" w:color="auto"/>
        <w:bottom w:val="none" w:sz="0" w:space="0" w:color="auto"/>
        <w:right w:val="none" w:sz="0" w:space="0" w:color="auto"/>
      </w:divBdr>
    </w:div>
    <w:div w:id="1516189787">
      <w:bodyDiv w:val="1"/>
      <w:marLeft w:val="0"/>
      <w:marRight w:val="0"/>
      <w:marTop w:val="0"/>
      <w:marBottom w:val="0"/>
      <w:divBdr>
        <w:top w:val="none" w:sz="0" w:space="0" w:color="auto"/>
        <w:left w:val="none" w:sz="0" w:space="0" w:color="auto"/>
        <w:bottom w:val="none" w:sz="0" w:space="0" w:color="auto"/>
        <w:right w:val="none" w:sz="0" w:space="0" w:color="auto"/>
      </w:divBdr>
    </w:div>
    <w:div w:id="1646930792">
      <w:bodyDiv w:val="1"/>
      <w:marLeft w:val="0"/>
      <w:marRight w:val="0"/>
      <w:marTop w:val="0"/>
      <w:marBottom w:val="0"/>
      <w:divBdr>
        <w:top w:val="none" w:sz="0" w:space="0" w:color="auto"/>
        <w:left w:val="none" w:sz="0" w:space="0" w:color="auto"/>
        <w:bottom w:val="none" w:sz="0" w:space="0" w:color="auto"/>
        <w:right w:val="none" w:sz="0" w:space="0" w:color="auto"/>
      </w:divBdr>
    </w:div>
    <w:div w:id="1659771115">
      <w:bodyDiv w:val="1"/>
      <w:marLeft w:val="0"/>
      <w:marRight w:val="0"/>
      <w:marTop w:val="0"/>
      <w:marBottom w:val="0"/>
      <w:divBdr>
        <w:top w:val="none" w:sz="0" w:space="0" w:color="auto"/>
        <w:left w:val="none" w:sz="0" w:space="0" w:color="auto"/>
        <w:bottom w:val="none" w:sz="0" w:space="0" w:color="auto"/>
        <w:right w:val="none" w:sz="0" w:space="0" w:color="auto"/>
      </w:divBdr>
    </w:div>
    <w:div w:id="1674797676">
      <w:bodyDiv w:val="1"/>
      <w:marLeft w:val="0"/>
      <w:marRight w:val="0"/>
      <w:marTop w:val="0"/>
      <w:marBottom w:val="0"/>
      <w:divBdr>
        <w:top w:val="none" w:sz="0" w:space="0" w:color="auto"/>
        <w:left w:val="none" w:sz="0" w:space="0" w:color="auto"/>
        <w:bottom w:val="none" w:sz="0" w:space="0" w:color="auto"/>
        <w:right w:val="none" w:sz="0" w:space="0" w:color="auto"/>
      </w:divBdr>
    </w:div>
    <w:div w:id="201467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uncitral.org/pdf/english/travaux/insolvency/acn9-wg5-wp42-e.pdf" TargetMode="External"/><Relationship Id="rId13" Type="http://schemas.openxmlformats.org/officeDocument/2006/relationships/hyperlink" Target="https://www.worldbank.org/en/topic/financialsector/brief/the-world-bank-principles-for-effective-insolvency-and-creditor-rights" TargetMode="External"/><Relationship Id="rId18" Type="http://schemas.openxmlformats.org/officeDocument/2006/relationships/hyperlink" Target="http://www.supremecourt.vic.gov.au/sites/default/files/assets/2017/10/f3/855ec74aa/CC6CrossborderInsolvency.pdf" TargetMode="External"/><Relationship Id="rId26" Type="http://schemas.openxmlformats.org/officeDocument/2006/relationships/hyperlink" Target="https://uncitral.un.org/sites/uncitral.un.org/files/media-documents/uncitral/en/judicial-perspective-2013-e.pdf" TargetMode="External"/><Relationship Id="rId3" Type="http://schemas.openxmlformats.org/officeDocument/2006/relationships/hyperlink" Target="https://uncitral.un.org/" TargetMode="External"/><Relationship Id="rId21" Type="http://schemas.openxmlformats.org/officeDocument/2006/relationships/hyperlink" Target="http://www.supremecourt.nt.gov.au/lawyers/documents/List_of_Supreme_Court_Practice_Directions.pdf" TargetMode="External"/><Relationship Id="rId7" Type="http://schemas.openxmlformats.org/officeDocument/2006/relationships/hyperlink" Target="https://undocs.org/en/A/CN.9/419" TargetMode="External"/><Relationship Id="rId12" Type="http://schemas.openxmlformats.org/officeDocument/2006/relationships/hyperlink" Target="https://uncitral.un.org/en/texts/insolvency/legislativeguides/insolvency_law" TargetMode="External"/><Relationship Id="rId17" Type="http://schemas.openxmlformats.org/officeDocument/2006/relationships/hyperlink" Target="http://www.practicenotes.justice.nsw.gov.au/practice_notes/nswsc_pc.nsf/a15f50afb1aa22a9ca2570ed000a2b08/4f96eb1106eb1b61ca25819f0002a5dc/$FILE/2017_09_15_Practice%20Note%20SC%20EQ%206.pdf" TargetMode="External"/><Relationship Id="rId25" Type="http://schemas.openxmlformats.org/officeDocument/2006/relationships/hyperlink" Target="http://www.practicenotes.justice.nsw.gov.au/practice_notes/nswsc_pc.nsf/a15f50afb1aa22a9ca2570ed000a2b08/4f96eb1106eb1b61ca25819f0002a5dc/$FILE/2017_09_15_Practice%20Note%20SC%20EQ%206.pdf" TargetMode="External"/><Relationship Id="rId2" Type="http://schemas.openxmlformats.org/officeDocument/2006/relationships/hyperlink" Target="https://www.un.org/en/charter-united-nations/" TargetMode="External"/><Relationship Id="rId16" Type="http://schemas.openxmlformats.org/officeDocument/2006/relationships/hyperlink" Target="http://www.fedcourt.gov.au/law-and-practice/practice-documents/practice-notes/gpn-xbdr" TargetMode="External"/><Relationship Id="rId20" Type="http://schemas.openxmlformats.org/officeDocument/2006/relationships/hyperlink" Target="https://supremecourt.wa.gov.au/_files/Consolidated%20Practice%20Directions.pdf.pdf" TargetMode="External"/><Relationship Id="rId1" Type="http://schemas.openxmlformats.org/officeDocument/2006/relationships/hyperlink" Target="https://uncca.org.au/" TargetMode="External"/><Relationship Id="rId6" Type="http://schemas.openxmlformats.org/officeDocument/2006/relationships/hyperlink" Target="https://undocs.org/en/A/CN.9/378/Add.4" TargetMode="External"/><Relationship Id="rId11" Type="http://schemas.openxmlformats.org/officeDocument/2006/relationships/hyperlink" Target="https://undocs.org/en/A/CN.9/504" TargetMode="External"/><Relationship Id="rId24" Type="http://schemas.openxmlformats.org/officeDocument/2006/relationships/hyperlink" Target="http://www.jin-global.org/jin-guidelines.html" TargetMode="External"/><Relationship Id="rId5" Type="http://schemas.openxmlformats.org/officeDocument/2006/relationships/hyperlink" Target="https://uncitral.un.org/sites/uncitral.un.org/files/media-documents/EN/Colloquia/uniform_commercial_law_congress_1992_e.pdf" TargetMode="External"/><Relationship Id="rId15" Type="http://schemas.openxmlformats.org/officeDocument/2006/relationships/hyperlink" Target="https://uncitral.un.org/en/texts/insolvency/explanatorytexts/practice_guide_cross-border_insolvency" TargetMode="External"/><Relationship Id="rId23" Type="http://schemas.openxmlformats.org/officeDocument/2006/relationships/hyperlink" Target="https://www.supremecourt.gov.sg/news/media-releases/judges-of-the-worldwide-judicial-insolvency-network-to-meet-in-new-york-city-this-september" TargetMode="External"/><Relationship Id="rId28" Type="http://schemas.openxmlformats.org/officeDocument/2006/relationships/hyperlink" Target="http://www.uncitral.org/pdf/english/congress/Papers_for_Programme/46-MASON_and_MARTIN-Conflict_and_Consistency_in_Cross_border_Insolvency_Judgments.pdf" TargetMode="External"/><Relationship Id="rId10" Type="http://schemas.openxmlformats.org/officeDocument/2006/relationships/hyperlink" Target="http://archive.treasury.gov.au/documents/930/HTML/docshell.asp?URL=03_Global.asp" TargetMode="External"/><Relationship Id="rId19" Type="http://schemas.openxmlformats.org/officeDocument/2006/relationships/hyperlink" Target="https://supremecourt.wa.gov.au/_files/Consolidated%20Practice%20Directions.pdf.pdf" TargetMode="External"/><Relationship Id="rId4" Type="http://schemas.openxmlformats.org/officeDocument/2006/relationships/hyperlink" Target="https://www.iiiglobal.org/sites/default/files/uncitralinsolvencyinitiativefiveyearreview.pdf" TargetMode="External"/><Relationship Id="rId9" Type="http://schemas.openxmlformats.org/officeDocument/2006/relationships/hyperlink" Target="https://undocs.org/en/A/CN.9/462/Add.1" TargetMode="External"/><Relationship Id="rId14" Type="http://schemas.openxmlformats.org/officeDocument/2006/relationships/hyperlink" Target="http://www.uncitral.org/uncitral/en/uncitral_texts/insolvency/1997Model_status.html" TargetMode="External"/><Relationship Id="rId22" Type="http://schemas.openxmlformats.org/officeDocument/2006/relationships/hyperlink" Target="http://www.uncitral.org/clout" TargetMode="External"/><Relationship Id="rId27" Type="http://schemas.openxmlformats.org/officeDocument/2006/relationships/hyperlink" Target="http://www.unis.unvienna.org/unis/en/pressrels/2019/unisl27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2CCACB6708824FBC0BFA22B30F5727" ma:contentTypeVersion="10" ma:contentTypeDescription="Create a new document." ma:contentTypeScope="" ma:versionID="38b250ee5bba18fb20171cdc723f5519">
  <xsd:schema xmlns:xsd="http://www.w3.org/2001/XMLSchema" xmlns:xs="http://www.w3.org/2001/XMLSchema" xmlns:p="http://schemas.microsoft.com/office/2006/metadata/properties" xmlns:ns2="34a64b90-9f1b-455e-a3cf-babf9f7b6cb6" xmlns:ns3="c60216c2-9674-4c64-8529-d3666b206f58" targetNamespace="http://schemas.microsoft.com/office/2006/metadata/properties" ma:root="true" ma:fieldsID="0ba88cba905325c247dd1bb216ad56df" ns2:_="" ns3:_="">
    <xsd:import namespace="34a64b90-9f1b-455e-a3cf-babf9f7b6cb6"/>
    <xsd:import namespace="c60216c2-9674-4c64-8529-d3666b206f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64b90-9f1b-455e-a3cf-babf9f7b6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0216c2-9674-4c64-8529-d3666b206f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4170C-FF84-4838-A864-41CCE5A272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237169-888E-46C0-B4BD-52BA9BE1EE89}"/>
</file>

<file path=customXml/itemProps3.xml><?xml version="1.0" encoding="utf-8"?>
<ds:datastoreItem xmlns:ds="http://schemas.openxmlformats.org/officeDocument/2006/customXml" ds:itemID="{3CA80E33-5904-4627-B7A0-DF54A620D1FF}">
  <ds:schemaRefs>
    <ds:schemaRef ds:uri="http://schemas.microsoft.com/sharepoint/v3/contenttype/forms"/>
  </ds:schemaRefs>
</ds:datastoreItem>
</file>

<file path=customXml/itemProps4.xml><?xml version="1.0" encoding="utf-8"?>
<ds:datastoreItem xmlns:ds="http://schemas.openxmlformats.org/officeDocument/2006/customXml" ds:itemID="{80AAF166-201C-4451-A383-3BBEDB546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12</Pages>
  <Words>4063</Words>
  <Characters>23165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Mason</dc:creator>
  <cp:keywords/>
  <dc:description/>
  <cp:lastModifiedBy>Rosalind Mason</cp:lastModifiedBy>
  <cp:revision>235</cp:revision>
  <cp:lastPrinted>2019-10-24T05:37:00Z</cp:lastPrinted>
  <dcterms:created xsi:type="dcterms:W3CDTF">2019-10-23T00:27:00Z</dcterms:created>
  <dcterms:modified xsi:type="dcterms:W3CDTF">2019-10-24T06:43:00Z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0x010100D62CCACB6708824FBC0BFA22B30F5727</vt:lpwstr>
  </property>
</Properties>
</file>