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A2" w:rsidRPr="00E803A2" w:rsidRDefault="00E803A2" w:rsidP="00E803A2">
      <w:pPr>
        <w:pStyle w:val="Header"/>
        <w:jc w:val="center"/>
        <w:rPr>
          <w:sz w:val="24"/>
        </w:rPr>
      </w:pPr>
      <w:r w:rsidRPr="00E803A2">
        <w:rPr>
          <w:sz w:val="24"/>
        </w:rPr>
        <w:t>Commentary by Scott Butler</w:t>
      </w:r>
      <w:r>
        <w:rPr>
          <w:rStyle w:val="FootnoteReference"/>
        </w:rPr>
        <w:footnoteReference w:id="1"/>
      </w:r>
    </w:p>
    <w:p w:rsidR="00E803A2" w:rsidRDefault="00E803A2" w:rsidP="00CB38E5"/>
    <w:p w:rsidR="00572852" w:rsidRDefault="00572852" w:rsidP="00572852">
      <w:pPr>
        <w:pStyle w:val="LetterHeading"/>
      </w:pPr>
      <w:r>
        <w:t>Introduction</w:t>
      </w:r>
    </w:p>
    <w:p w:rsidR="00572852" w:rsidRDefault="00572852" w:rsidP="00CB38E5"/>
    <w:p w:rsidR="00035337" w:rsidRDefault="00927DDE" w:rsidP="00CB38E5">
      <w:r w:rsidRPr="008F7B51">
        <w:t xml:space="preserve">I am grateful to have been asked to provide some </w:t>
      </w:r>
      <w:r>
        <w:t xml:space="preserve">additional </w:t>
      </w:r>
      <w:r w:rsidRPr="008F7B51">
        <w:t>commentary</w:t>
      </w:r>
      <w:r>
        <w:t xml:space="preserve"> </w:t>
      </w:r>
      <w:r w:rsidR="00982F67">
        <w:t>to complement</w:t>
      </w:r>
      <w:r>
        <w:t xml:space="preserve"> </w:t>
      </w:r>
      <w:r w:rsidR="00035337">
        <w:t xml:space="preserve">Professor Mason’s paper, which provides an excellent overview of </w:t>
      </w:r>
      <w:r w:rsidR="00D66FA6">
        <w:t xml:space="preserve">UNCITRAL’s work and contribution to cross-border insolvency over the years.  </w:t>
      </w:r>
    </w:p>
    <w:p w:rsidR="00035337" w:rsidRDefault="00035337" w:rsidP="00CB38E5"/>
    <w:p w:rsidR="00CB38E5" w:rsidRDefault="00FD72B2" w:rsidP="00CB38E5">
      <w:r>
        <w:t>Unlike the US</w:t>
      </w:r>
      <w:r w:rsidR="00906A2E">
        <w:t>,</w:t>
      </w:r>
      <w:r>
        <w:rPr>
          <w:rStyle w:val="FootnoteReference"/>
        </w:rPr>
        <w:footnoteReference w:id="2"/>
      </w:r>
      <w:r>
        <w:t xml:space="preserve"> UK</w:t>
      </w:r>
      <w:r w:rsidR="00D9729B">
        <w:rPr>
          <w:rStyle w:val="FootnoteReference"/>
        </w:rPr>
        <w:footnoteReference w:id="3"/>
      </w:r>
      <w:r>
        <w:t xml:space="preserve"> and more recently Singapore</w:t>
      </w:r>
      <w:r w:rsidR="00906A2E">
        <w:t>,</w:t>
      </w:r>
      <w:r w:rsidR="00D9729B">
        <w:rPr>
          <w:rStyle w:val="FootnoteReference"/>
        </w:rPr>
        <w:footnoteReference w:id="4"/>
      </w:r>
      <w:r>
        <w:t xml:space="preserve"> Australia’s insolvency regime is not,</w:t>
      </w:r>
      <w:r w:rsidR="00CB38E5" w:rsidRPr="00CB38E5">
        <w:t xml:space="preserve"> by its nature (or design)</w:t>
      </w:r>
      <w:r>
        <w:t>, one that</w:t>
      </w:r>
      <w:r w:rsidR="00CB38E5" w:rsidRPr="00CB38E5">
        <w:t xml:space="preserve"> attracts insolvency filings by foreign companies seeking to use our </w:t>
      </w:r>
      <w:r w:rsidR="000E2CE9">
        <w:t xml:space="preserve">insolvency </w:t>
      </w:r>
      <w:r w:rsidR="00CB38E5" w:rsidRPr="00CB38E5">
        <w:t>processes to restructure</w:t>
      </w:r>
      <w:r>
        <w:t xml:space="preserve">.  Accordingly, </w:t>
      </w:r>
      <w:r w:rsidR="009D75FC">
        <w:t>our cross-</w:t>
      </w:r>
      <w:r w:rsidR="00CB38E5" w:rsidRPr="00CB38E5">
        <w:t xml:space="preserve">border insolvency </w:t>
      </w:r>
      <w:r w:rsidR="001D1D01">
        <w:t>matters generally consist</w:t>
      </w:r>
      <w:r w:rsidR="00CB38E5" w:rsidRPr="00CB38E5">
        <w:t xml:space="preserve"> of </w:t>
      </w:r>
      <w:r w:rsidR="001D1D01">
        <w:t>applications seeking</w:t>
      </w:r>
      <w:r w:rsidR="00CB38E5" w:rsidRPr="00CB38E5">
        <w:t xml:space="preserve"> recognition of fo</w:t>
      </w:r>
      <w:r>
        <w:t>reign insolvencies under the UNCITRAL Model Law on Cross-Border Insolvency</w:t>
      </w:r>
      <w:r w:rsidR="001D1D01">
        <w:t xml:space="preserve"> </w:t>
      </w:r>
      <w:r w:rsidR="00ED2A85">
        <w:t>(</w:t>
      </w:r>
      <w:r w:rsidR="00ED2A85" w:rsidRPr="009D75FC">
        <w:rPr>
          <w:b/>
        </w:rPr>
        <w:t>Model Law</w:t>
      </w:r>
      <w:r w:rsidR="00ED2A85">
        <w:t xml:space="preserve">) </w:t>
      </w:r>
      <w:r w:rsidR="001D1D01">
        <w:t xml:space="preserve">and </w:t>
      </w:r>
      <w:r w:rsidR="009D75FC">
        <w:t>related</w:t>
      </w:r>
      <w:r w:rsidR="001D1D01">
        <w:t xml:space="preserve"> orders</w:t>
      </w:r>
      <w:r w:rsidR="009D75FC">
        <w:t xml:space="preserve"> available under the Model Law either prior to or post recognition</w:t>
      </w:r>
      <w:r w:rsidR="00CB38E5" w:rsidRPr="00CB38E5">
        <w:t>.</w:t>
      </w:r>
      <w:r w:rsidR="006D7FD1">
        <w:t xml:space="preserve">  </w:t>
      </w:r>
    </w:p>
    <w:p w:rsidR="004A1622" w:rsidRDefault="004A1622" w:rsidP="00CB38E5"/>
    <w:p w:rsidR="00CB38E5" w:rsidRDefault="00ED2A85" w:rsidP="00CB38E5">
      <w:r>
        <w:t>Australia’</w:t>
      </w:r>
      <w:r w:rsidR="009D75FC">
        <w:t xml:space="preserve">s adoption of the Model Law </w:t>
      </w:r>
      <w:r>
        <w:t>expanded the ability of foreign representatives of foreign insolvencies to obtain assistance from Australian courts</w:t>
      </w:r>
      <w:r w:rsidR="000C5DCF">
        <w:t xml:space="preserve"> and, </w:t>
      </w:r>
      <w:r w:rsidR="00927DDE">
        <w:t>t</w:t>
      </w:r>
      <w:r>
        <w:t>o that end</w:t>
      </w:r>
      <w:r w:rsidR="00C6268E">
        <w:t>,</w:t>
      </w:r>
      <w:r>
        <w:t xml:space="preserve"> it is to be commended, however, there remain a number of issues in practice about how the Model Law </w:t>
      </w:r>
      <w:r w:rsidR="00C6268E">
        <w:t>operates</w:t>
      </w:r>
      <w:r>
        <w:t xml:space="preserve"> which require consideration</w:t>
      </w:r>
      <w:r w:rsidR="009D75FC">
        <w:t xml:space="preserve"> and potentially reform in the manner in which Australia has adopted the Model Law</w:t>
      </w:r>
      <w:r>
        <w:t>.</w:t>
      </w:r>
      <w:r w:rsidR="00D66FA6">
        <w:t xml:space="preserve">  I have chosen a few of them to highlight today.</w:t>
      </w:r>
    </w:p>
    <w:p w:rsidR="00F04F83" w:rsidRPr="003C5FE3" w:rsidRDefault="00CB38E5" w:rsidP="00572852">
      <w:pPr>
        <w:pStyle w:val="LetterHeading"/>
      </w:pPr>
      <w:r w:rsidRPr="003C5FE3">
        <w:t>The definiti</w:t>
      </w:r>
      <w:r w:rsidR="003C5FE3">
        <w:t>on of a foreign main proceeding</w:t>
      </w:r>
      <w:r w:rsidRPr="003C5FE3">
        <w:t xml:space="preserve"> </w:t>
      </w:r>
      <w:r w:rsidR="003C5FE3">
        <w:t xml:space="preserve">and </w:t>
      </w:r>
      <w:r w:rsidR="000821E7">
        <w:t xml:space="preserve">a </w:t>
      </w:r>
      <w:r w:rsidR="003C5FE3">
        <w:t>foreign non-main proceeding</w:t>
      </w:r>
      <w:r w:rsidRPr="003C5FE3">
        <w:t xml:space="preserve">  </w:t>
      </w:r>
    </w:p>
    <w:p w:rsidR="00F04F83" w:rsidRDefault="00F04F83" w:rsidP="00CB38E5"/>
    <w:p w:rsidR="00DC41F0" w:rsidRPr="009C6381" w:rsidRDefault="002C762A" w:rsidP="00D16D86">
      <w:pPr>
        <w:rPr>
          <w:rFonts w:cs="Tahoma"/>
          <w:szCs w:val="20"/>
        </w:rPr>
      </w:pPr>
      <w:r w:rsidRPr="00BA46C1">
        <w:rPr>
          <w:rFonts w:cs="Tahoma"/>
          <w:szCs w:val="20"/>
        </w:rPr>
        <w:t>The Model Law is just that; a model law.  It is a model</w:t>
      </w:r>
      <w:r>
        <w:rPr>
          <w:rFonts w:cs="Tahoma"/>
          <w:szCs w:val="20"/>
        </w:rPr>
        <w:t>,</w:t>
      </w:r>
      <w:r w:rsidRPr="00BA46C1">
        <w:rPr>
          <w:rFonts w:cs="Tahoma"/>
          <w:szCs w:val="20"/>
        </w:rPr>
        <w:t xml:space="preserve"> which countries that elect to implement </w:t>
      </w:r>
      <w:r>
        <w:rPr>
          <w:rFonts w:cs="Tahoma"/>
          <w:szCs w:val="20"/>
        </w:rPr>
        <w:t xml:space="preserve">it, </w:t>
      </w:r>
      <w:r w:rsidRPr="00BA46C1">
        <w:rPr>
          <w:rFonts w:cs="Tahoma"/>
          <w:szCs w:val="20"/>
        </w:rPr>
        <w:t xml:space="preserve">can </w:t>
      </w:r>
      <w:r>
        <w:rPr>
          <w:rFonts w:cs="Tahoma"/>
          <w:szCs w:val="20"/>
        </w:rPr>
        <w:t>use</w:t>
      </w:r>
      <w:r w:rsidRPr="00BA46C1">
        <w:rPr>
          <w:rFonts w:cs="Tahoma"/>
          <w:szCs w:val="20"/>
        </w:rPr>
        <w:t xml:space="preserve"> as a </w:t>
      </w:r>
      <w:r>
        <w:rPr>
          <w:rFonts w:cs="Tahoma"/>
          <w:szCs w:val="20"/>
        </w:rPr>
        <w:t>framework</w:t>
      </w:r>
      <w:r w:rsidRPr="00BA46C1">
        <w:rPr>
          <w:rFonts w:cs="Tahoma"/>
          <w:szCs w:val="20"/>
        </w:rPr>
        <w:t>.  Some countries implemen</w:t>
      </w:r>
      <w:r w:rsidR="0057066A">
        <w:rPr>
          <w:rFonts w:cs="Tahoma"/>
          <w:szCs w:val="20"/>
        </w:rPr>
        <w:t xml:space="preserve">t it with little or no modification, such as </w:t>
      </w:r>
      <w:r w:rsidR="00DC41F0" w:rsidRPr="009C6381">
        <w:rPr>
          <w:rFonts w:cs="Tahoma"/>
          <w:szCs w:val="20"/>
        </w:rPr>
        <w:t>Australia</w:t>
      </w:r>
      <w:r w:rsidR="0057066A">
        <w:rPr>
          <w:rFonts w:cs="Tahoma"/>
          <w:szCs w:val="20"/>
        </w:rPr>
        <w:t xml:space="preserve"> which </w:t>
      </w:r>
      <w:r w:rsidR="00DC41F0" w:rsidRPr="009C6381">
        <w:rPr>
          <w:rFonts w:cs="Tahoma"/>
          <w:szCs w:val="20"/>
        </w:rPr>
        <w:t xml:space="preserve">implemented the Model Law </w:t>
      </w:r>
      <w:r w:rsidR="000C5DCF">
        <w:rPr>
          <w:rFonts w:cs="Tahoma"/>
          <w:szCs w:val="20"/>
        </w:rPr>
        <w:t>with minimal changes b</w:t>
      </w:r>
      <w:r w:rsidR="000C5DCF" w:rsidRPr="000C5DCF">
        <w:rPr>
          <w:rFonts w:cs="Tahoma"/>
          <w:szCs w:val="20"/>
        </w:rPr>
        <w:t xml:space="preserve">y reproducing it in a schedule to the </w:t>
      </w:r>
      <w:r w:rsidR="000C5DCF" w:rsidRPr="000C5DCF">
        <w:rPr>
          <w:rFonts w:cs="Tahoma"/>
          <w:i/>
          <w:szCs w:val="20"/>
        </w:rPr>
        <w:t>Cross-Border Insolvency Act</w:t>
      </w:r>
      <w:r w:rsidR="000C5DCF" w:rsidRPr="000C5DCF">
        <w:rPr>
          <w:rFonts w:cs="Tahoma"/>
          <w:szCs w:val="20"/>
        </w:rPr>
        <w:t xml:space="preserve"> </w:t>
      </w:r>
      <w:r w:rsidR="000C5DCF" w:rsidRPr="000C5DCF">
        <w:rPr>
          <w:rFonts w:cs="Tahoma"/>
          <w:i/>
          <w:szCs w:val="20"/>
        </w:rPr>
        <w:t>2008</w:t>
      </w:r>
      <w:r w:rsidR="000C5DCF" w:rsidRPr="000C5DCF">
        <w:rPr>
          <w:rFonts w:cs="Tahoma"/>
          <w:szCs w:val="20"/>
        </w:rPr>
        <w:t xml:space="preserve"> (Cth) (</w:t>
      </w:r>
      <w:r w:rsidR="000C5DCF" w:rsidRPr="000C5DCF">
        <w:rPr>
          <w:rFonts w:cs="Tahoma"/>
          <w:b/>
          <w:szCs w:val="20"/>
        </w:rPr>
        <w:t>CBIA</w:t>
      </w:r>
      <w:r w:rsidR="000C5DCF" w:rsidRPr="000C5DCF">
        <w:rPr>
          <w:rFonts w:cs="Tahoma"/>
          <w:szCs w:val="20"/>
        </w:rPr>
        <w:t>) and including the modifications necessary for implementation in Australia in the provisions of the Act.</w:t>
      </w:r>
      <w:r w:rsidR="00DC41F0" w:rsidRPr="009C6381">
        <w:rPr>
          <w:rFonts w:cs="Tahoma"/>
          <w:szCs w:val="20"/>
        </w:rPr>
        <w:t xml:space="preserve">  </w:t>
      </w:r>
      <w:r w:rsidR="0057066A">
        <w:rPr>
          <w:rFonts w:cs="Tahoma"/>
          <w:szCs w:val="20"/>
        </w:rPr>
        <w:t>Others modify it substantially</w:t>
      </w:r>
      <w:r w:rsidR="00906A2E">
        <w:rPr>
          <w:rFonts w:cs="Tahoma"/>
          <w:szCs w:val="20"/>
        </w:rPr>
        <w:t>.</w:t>
      </w:r>
      <w:r w:rsidR="0057066A">
        <w:rPr>
          <w:rStyle w:val="FootnoteReference"/>
          <w:rFonts w:cs="Tahoma"/>
          <w:szCs w:val="20"/>
        </w:rPr>
        <w:footnoteReference w:id="5"/>
      </w:r>
      <w:r w:rsidR="00E85898">
        <w:rPr>
          <w:rFonts w:cs="Tahoma"/>
          <w:szCs w:val="20"/>
        </w:rPr>
        <w:t xml:space="preserve">  Unless otherwise stated, references in this paper to the Model Law are references to it as enacted in Australia.</w:t>
      </w:r>
    </w:p>
    <w:p w:rsidR="00DC41F0" w:rsidRPr="009C6381" w:rsidRDefault="00DC41F0" w:rsidP="00D16D86">
      <w:pPr>
        <w:rPr>
          <w:rFonts w:cs="Tahoma"/>
          <w:szCs w:val="20"/>
        </w:rPr>
      </w:pPr>
    </w:p>
    <w:p w:rsidR="007053F6" w:rsidRDefault="0033596C" w:rsidP="000B2084">
      <w:r>
        <w:t xml:space="preserve">The </w:t>
      </w:r>
      <w:r w:rsidR="00725951">
        <w:t>Model Law</w:t>
      </w:r>
      <w:r>
        <w:t xml:space="preserve"> allows for a foreign insolvency representative to apply to an Australian court for recognition of a foreign insolvency proceeding.</w:t>
      </w:r>
      <w:r w:rsidR="00725951">
        <w:rPr>
          <w:rStyle w:val="FootnoteReference"/>
        </w:rPr>
        <w:footnoteReference w:id="6"/>
      </w:r>
      <w:r>
        <w:t xml:space="preserve">  Recognition of the foreign proceeding as a foreign main proceeding brings about an automatic stay of proceedings in Australia against the fore</w:t>
      </w:r>
      <w:r w:rsidR="00233E2E">
        <w:t>ign debtor or its</w:t>
      </w:r>
      <w:r>
        <w:t xml:space="preserve"> assets.</w:t>
      </w:r>
      <w:r w:rsidR="00233E2E">
        <w:rPr>
          <w:rStyle w:val="FootnoteReference"/>
        </w:rPr>
        <w:footnoteReference w:id="7"/>
      </w:r>
      <w:r>
        <w:t xml:space="preserve">  Recognition as either a foreign main proceeding or a foreign non-main proceeding allows the courts to make </w:t>
      </w:r>
      <w:r w:rsidR="00233E2E">
        <w:t xml:space="preserve">various </w:t>
      </w:r>
      <w:r>
        <w:t>orders</w:t>
      </w:r>
      <w:r w:rsidR="00D17510">
        <w:t xml:space="preserve">, such as a stay, allowing the foreign representative to take possession of assets or </w:t>
      </w:r>
      <w:r w:rsidR="00305CB2">
        <w:t xml:space="preserve">to </w:t>
      </w:r>
      <w:r w:rsidR="00D17510">
        <w:t xml:space="preserve">transfer assets </w:t>
      </w:r>
      <w:r w:rsidR="00305CB2">
        <w:t>out of the</w:t>
      </w:r>
      <w:r w:rsidR="00D17510">
        <w:t xml:space="preserve"> jurisdiction,</w:t>
      </w:r>
      <w:r w:rsidR="006A0405">
        <w:t xml:space="preserve"> to examine witnesses, etc</w:t>
      </w:r>
      <w:r w:rsidR="00D17510">
        <w:t>.</w:t>
      </w:r>
      <w:r w:rsidR="00D17510">
        <w:rPr>
          <w:rStyle w:val="FootnoteReference"/>
        </w:rPr>
        <w:footnoteReference w:id="8"/>
      </w:r>
    </w:p>
    <w:p w:rsidR="007053F6" w:rsidRDefault="007053F6" w:rsidP="000B2084"/>
    <w:p w:rsidR="000B2084" w:rsidRPr="009C6381" w:rsidRDefault="000B2084" w:rsidP="000B2084">
      <w:pPr>
        <w:rPr>
          <w:rFonts w:cs="Tahoma"/>
          <w:i/>
          <w:iCs/>
          <w:color w:val="171717"/>
          <w:szCs w:val="20"/>
          <w:lang w:eastAsia="en-AU"/>
        </w:rPr>
      </w:pPr>
      <w:r w:rsidRPr="009C6381">
        <w:t>Article 17(2)</w:t>
      </w:r>
      <w:r w:rsidR="007A02AB">
        <w:t xml:space="preserve">(a) </w:t>
      </w:r>
      <w:r w:rsidR="00DC41F0" w:rsidRPr="009C6381">
        <w:t>of the Model Law</w:t>
      </w:r>
      <w:r w:rsidRPr="009C6381">
        <w:t xml:space="preserve"> provides that a foreign proceeding shall be recognised as</w:t>
      </w:r>
      <w:r w:rsidR="007A02AB">
        <w:t xml:space="preserve"> </w:t>
      </w:r>
      <w:r w:rsidR="007A02AB" w:rsidRPr="009C6381">
        <w:rPr>
          <w:lang w:eastAsia="en-AU"/>
        </w:rPr>
        <w:t>a foreign main proceeding if it is taking place in the State (i.e. country) where the debtor has the centre of its main interests (</w:t>
      </w:r>
      <w:r w:rsidR="007A02AB" w:rsidRPr="009C6381">
        <w:rPr>
          <w:b/>
          <w:lang w:eastAsia="en-AU"/>
        </w:rPr>
        <w:t>COMI</w:t>
      </w:r>
      <w:r w:rsidR="007A02AB" w:rsidRPr="009C6381">
        <w:rPr>
          <w:lang w:eastAsia="en-AU"/>
        </w:rPr>
        <w:t>)</w:t>
      </w:r>
      <w:r w:rsidR="007A02AB">
        <w:rPr>
          <w:lang w:eastAsia="en-AU"/>
        </w:rPr>
        <w:t>.</w:t>
      </w:r>
      <w:r w:rsidR="004F1B49">
        <w:rPr>
          <w:lang w:eastAsia="en-AU"/>
        </w:rPr>
        <w:t xml:space="preserve">  </w:t>
      </w:r>
      <w:r w:rsidR="008161E8" w:rsidRPr="008161E8">
        <w:rPr>
          <w:rFonts w:cs="Tahoma"/>
          <w:color w:val="171717"/>
          <w:szCs w:val="20"/>
          <w:lang w:eastAsia="en-AU"/>
        </w:rPr>
        <w:t>Article 16(3) provides that i</w:t>
      </w:r>
      <w:r w:rsidRPr="008161E8">
        <w:rPr>
          <w:rFonts w:cs="Tahoma"/>
          <w:iCs/>
          <w:color w:val="171717"/>
          <w:szCs w:val="20"/>
          <w:lang w:eastAsia="en-AU"/>
        </w:rPr>
        <w:t>n the absence of proof to the contrary, the debtor's registered office, or</w:t>
      </w:r>
      <w:r w:rsidR="004F1B49" w:rsidRPr="008161E8">
        <w:rPr>
          <w:rFonts w:cs="Tahoma"/>
          <w:iCs/>
          <w:color w:val="171717"/>
          <w:szCs w:val="20"/>
          <w:lang w:eastAsia="en-AU"/>
        </w:rPr>
        <w:t xml:space="preserve"> </w:t>
      </w:r>
      <w:r w:rsidRPr="008161E8">
        <w:rPr>
          <w:rFonts w:cs="Tahoma"/>
          <w:iCs/>
          <w:color w:val="171717"/>
          <w:szCs w:val="20"/>
          <w:lang w:eastAsia="en-AU"/>
        </w:rPr>
        <w:t xml:space="preserve">habitual residence in the </w:t>
      </w:r>
      <w:r w:rsidRPr="008161E8">
        <w:rPr>
          <w:rFonts w:cs="Tahoma"/>
          <w:color w:val="171717"/>
          <w:szCs w:val="20"/>
          <w:lang w:eastAsia="en-AU"/>
        </w:rPr>
        <w:t xml:space="preserve">case </w:t>
      </w:r>
      <w:r w:rsidRPr="008161E8">
        <w:rPr>
          <w:rFonts w:cs="Tahoma"/>
          <w:iCs/>
          <w:color w:val="171717"/>
          <w:szCs w:val="20"/>
          <w:lang w:eastAsia="en-AU"/>
        </w:rPr>
        <w:t xml:space="preserve">of </w:t>
      </w:r>
      <w:r w:rsidR="007A02AB" w:rsidRPr="008161E8">
        <w:rPr>
          <w:rFonts w:cs="Tahoma"/>
          <w:iCs/>
          <w:color w:val="171717"/>
          <w:szCs w:val="20"/>
          <w:lang w:eastAsia="en-AU"/>
        </w:rPr>
        <w:t>an</w:t>
      </w:r>
      <w:r w:rsidRPr="008161E8">
        <w:rPr>
          <w:rFonts w:cs="Tahoma"/>
          <w:iCs/>
          <w:color w:val="171717"/>
          <w:szCs w:val="20"/>
          <w:lang w:eastAsia="en-AU"/>
        </w:rPr>
        <w:t xml:space="preserve"> individual, is presumed to be the centre of the debtor's main</w:t>
      </w:r>
      <w:r w:rsidR="004F1B49" w:rsidRPr="008161E8">
        <w:rPr>
          <w:rFonts w:cs="Tahoma"/>
          <w:iCs/>
          <w:color w:val="171717"/>
          <w:szCs w:val="20"/>
          <w:lang w:eastAsia="en-AU"/>
        </w:rPr>
        <w:t xml:space="preserve"> </w:t>
      </w:r>
      <w:r w:rsidR="008161E8" w:rsidRPr="008161E8">
        <w:rPr>
          <w:rFonts w:cs="Tahoma"/>
          <w:iCs/>
          <w:color w:val="171717"/>
          <w:szCs w:val="20"/>
          <w:lang w:eastAsia="en-AU"/>
        </w:rPr>
        <w:t>interests.</w:t>
      </w:r>
      <w:r w:rsidRPr="008161E8">
        <w:rPr>
          <w:rFonts w:cs="Tahoma"/>
          <w:iCs/>
          <w:color w:val="171717"/>
          <w:szCs w:val="20"/>
          <w:lang w:eastAsia="en-AU"/>
        </w:rPr>
        <w:t xml:space="preserve"> </w:t>
      </w:r>
    </w:p>
    <w:p w:rsidR="000B2084" w:rsidRDefault="000B2084" w:rsidP="000B2084">
      <w:pPr>
        <w:rPr>
          <w:rFonts w:ascii="Arial" w:hAnsi="Arial" w:cs="Arial"/>
          <w:i/>
          <w:iCs/>
          <w:color w:val="171717"/>
          <w:sz w:val="19"/>
          <w:szCs w:val="19"/>
          <w:lang w:eastAsia="en-AU"/>
        </w:rPr>
      </w:pPr>
    </w:p>
    <w:p w:rsidR="000139D8" w:rsidRPr="000139D8" w:rsidRDefault="005F3FFA" w:rsidP="000139D8">
      <w:pPr>
        <w:rPr>
          <w:rFonts w:cs="Tahoma"/>
          <w:szCs w:val="20"/>
          <w:lang w:eastAsia="en-AU"/>
        </w:rPr>
      </w:pPr>
      <w:r>
        <w:rPr>
          <w:rFonts w:cs="Tahoma"/>
          <w:szCs w:val="20"/>
          <w:lang w:eastAsia="en-AU"/>
        </w:rPr>
        <w:t>The Australian courts</w:t>
      </w:r>
      <w:r w:rsidR="000139D8" w:rsidRPr="000139D8">
        <w:rPr>
          <w:rFonts w:cs="Tahoma"/>
          <w:szCs w:val="20"/>
          <w:lang w:eastAsia="en-AU"/>
        </w:rPr>
        <w:t xml:space="preserve"> have adopted the test</w:t>
      </w:r>
      <w:r w:rsidR="000139D8">
        <w:rPr>
          <w:rFonts w:cs="Tahoma"/>
          <w:szCs w:val="20"/>
          <w:lang w:eastAsia="en-AU"/>
        </w:rPr>
        <w:t xml:space="preserve"> set </w:t>
      </w:r>
      <w:r w:rsidR="000139D8" w:rsidRPr="000139D8">
        <w:rPr>
          <w:rFonts w:cs="Tahoma"/>
          <w:szCs w:val="20"/>
          <w:lang w:eastAsia="en-AU"/>
        </w:rPr>
        <w:t xml:space="preserve">out </w:t>
      </w:r>
      <w:r w:rsidR="00EB099D">
        <w:rPr>
          <w:rFonts w:cs="Tahoma"/>
          <w:szCs w:val="20"/>
          <w:lang w:eastAsia="en-AU"/>
        </w:rPr>
        <w:t xml:space="preserve">by the </w:t>
      </w:r>
      <w:r w:rsidR="00EB099D" w:rsidRPr="000139D8">
        <w:rPr>
          <w:rFonts w:cs="Tahoma"/>
          <w:szCs w:val="20"/>
          <w:lang w:eastAsia="en-AU"/>
        </w:rPr>
        <w:t>Court of Justice of the European Communities (</w:t>
      </w:r>
      <w:r w:rsidR="00EB099D" w:rsidRPr="000139D8">
        <w:rPr>
          <w:rFonts w:cs="Tahoma"/>
          <w:b/>
          <w:szCs w:val="20"/>
          <w:lang w:eastAsia="en-AU"/>
        </w:rPr>
        <w:t>ECJ</w:t>
      </w:r>
      <w:r w:rsidR="00EB099D" w:rsidRPr="000139D8">
        <w:rPr>
          <w:rFonts w:cs="Tahoma"/>
          <w:szCs w:val="20"/>
          <w:lang w:eastAsia="en-AU"/>
        </w:rPr>
        <w:t xml:space="preserve">) </w:t>
      </w:r>
      <w:r w:rsidR="000139D8" w:rsidRPr="000139D8">
        <w:rPr>
          <w:rFonts w:cs="Tahoma"/>
          <w:szCs w:val="20"/>
          <w:lang w:eastAsia="en-AU"/>
        </w:rPr>
        <w:t xml:space="preserve">in </w:t>
      </w:r>
      <w:r w:rsidR="000139D8" w:rsidRPr="000139D8">
        <w:rPr>
          <w:rFonts w:cs="Tahoma"/>
          <w:i/>
          <w:szCs w:val="20"/>
          <w:lang w:eastAsia="en-AU"/>
        </w:rPr>
        <w:t>In re Eurofood IFSC Ltd</w:t>
      </w:r>
      <w:r w:rsidR="000139D8" w:rsidRPr="000139D8">
        <w:rPr>
          <w:rFonts w:cs="Tahoma"/>
          <w:szCs w:val="20"/>
          <w:lang w:eastAsia="en-AU"/>
        </w:rPr>
        <w:t xml:space="preserve"> [2006] Ch 508</w:t>
      </w:r>
      <w:r w:rsidR="009C6381">
        <w:rPr>
          <w:rFonts w:cs="Tahoma"/>
          <w:szCs w:val="20"/>
          <w:lang w:eastAsia="en-AU"/>
        </w:rPr>
        <w:t xml:space="preserve"> to determine whether the presumption </w:t>
      </w:r>
      <w:r w:rsidR="00BA5D09">
        <w:rPr>
          <w:rFonts w:cs="Tahoma"/>
          <w:szCs w:val="20"/>
          <w:lang w:eastAsia="en-AU"/>
        </w:rPr>
        <w:t xml:space="preserve">as to the location </w:t>
      </w:r>
      <w:r w:rsidR="00BA5D09">
        <w:rPr>
          <w:rFonts w:cs="Tahoma"/>
          <w:szCs w:val="20"/>
          <w:lang w:eastAsia="en-AU"/>
        </w:rPr>
        <w:lastRenderedPageBreak/>
        <w:t xml:space="preserve">of COMI </w:t>
      </w:r>
      <w:r w:rsidR="009C6381">
        <w:rPr>
          <w:rFonts w:cs="Tahoma"/>
          <w:szCs w:val="20"/>
          <w:lang w:eastAsia="en-AU"/>
        </w:rPr>
        <w:t>in article 16(3) is rebutted</w:t>
      </w:r>
      <w:r w:rsidR="00906A2E">
        <w:rPr>
          <w:rFonts w:cs="Tahoma"/>
          <w:szCs w:val="20"/>
          <w:lang w:eastAsia="en-AU"/>
        </w:rPr>
        <w:t>.</w:t>
      </w:r>
      <w:r w:rsidR="008035DE" w:rsidRPr="000139D8">
        <w:rPr>
          <w:rFonts w:cs="Tahoma"/>
          <w:szCs w:val="20"/>
          <w:vertAlign w:val="superscript"/>
          <w:lang w:eastAsia="en-AU"/>
        </w:rPr>
        <w:footnoteReference w:id="9"/>
      </w:r>
      <w:r w:rsidR="000139D8" w:rsidRPr="000139D8">
        <w:rPr>
          <w:rFonts w:cs="Tahoma"/>
          <w:szCs w:val="20"/>
          <w:lang w:eastAsia="en-AU"/>
        </w:rPr>
        <w:t xml:space="preserve">  In </w:t>
      </w:r>
      <w:r w:rsidR="000139D8" w:rsidRPr="000139D8">
        <w:rPr>
          <w:rFonts w:cs="Tahoma"/>
          <w:i/>
          <w:szCs w:val="20"/>
          <w:lang w:eastAsia="en-AU"/>
        </w:rPr>
        <w:t>Eurofood</w:t>
      </w:r>
      <w:r w:rsidR="00EB099D">
        <w:rPr>
          <w:rFonts w:cs="Tahoma"/>
          <w:szCs w:val="20"/>
          <w:lang w:eastAsia="en-AU"/>
        </w:rPr>
        <w:t xml:space="preserve">, the </w:t>
      </w:r>
      <w:r w:rsidR="006435B1">
        <w:rPr>
          <w:rFonts w:cs="Tahoma"/>
          <w:szCs w:val="20"/>
          <w:lang w:eastAsia="en-AU"/>
        </w:rPr>
        <w:t>ECJ</w:t>
      </w:r>
      <w:r w:rsidR="00EB099D">
        <w:rPr>
          <w:rFonts w:cs="Tahoma"/>
          <w:szCs w:val="20"/>
          <w:lang w:eastAsia="en-AU"/>
        </w:rPr>
        <w:t xml:space="preserve"> </w:t>
      </w:r>
      <w:r w:rsidR="000139D8" w:rsidRPr="000139D8">
        <w:rPr>
          <w:rFonts w:cs="Tahoma"/>
          <w:szCs w:val="20"/>
          <w:lang w:eastAsia="en-AU"/>
        </w:rPr>
        <w:t xml:space="preserve">held that to rebut the presumption </w:t>
      </w:r>
      <w:r w:rsidR="007A02AB">
        <w:rPr>
          <w:rFonts w:cs="Tahoma"/>
          <w:szCs w:val="20"/>
          <w:lang w:eastAsia="en-AU"/>
        </w:rPr>
        <w:t>in article 16(3)</w:t>
      </w:r>
      <w:r w:rsidR="000139D8" w:rsidRPr="000139D8">
        <w:rPr>
          <w:rFonts w:cs="Tahoma"/>
          <w:szCs w:val="20"/>
          <w:lang w:eastAsia="en-AU"/>
        </w:rPr>
        <w:t>, there must be factors, which are both objective and ascertainable by third parties, which are sufficient to establish the COMI is elsewhere.</w:t>
      </w:r>
    </w:p>
    <w:p w:rsidR="00A325D8" w:rsidRDefault="00A325D8" w:rsidP="00D16D86">
      <w:pPr>
        <w:autoSpaceDE w:val="0"/>
        <w:autoSpaceDN w:val="0"/>
        <w:adjustRightInd w:val="0"/>
        <w:rPr>
          <w:rFonts w:ascii="Arial" w:hAnsi="Arial" w:cs="Arial"/>
          <w:color w:val="171717"/>
          <w:szCs w:val="20"/>
          <w:lang w:eastAsia="en-AU"/>
        </w:rPr>
      </w:pPr>
    </w:p>
    <w:p w:rsidR="000B2084" w:rsidRPr="000B2084" w:rsidRDefault="007A02AB" w:rsidP="000B2084">
      <w:r>
        <w:rPr>
          <w:lang w:eastAsia="en-AU"/>
        </w:rPr>
        <w:t xml:space="preserve">Article 17(2)(b) </w:t>
      </w:r>
      <w:r w:rsidR="00D873C3">
        <w:rPr>
          <w:lang w:eastAsia="en-AU"/>
        </w:rPr>
        <w:t xml:space="preserve">of the Model Law </w:t>
      </w:r>
      <w:r>
        <w:rPr>
          <w:lang w:eastAsia="en-AU"/>
        </w:rPr>
        <w:t xml:space="preserve">provides that </w:t>
      </w:r>
      <w:r w:rsidRPr="009C6381">
        <w:rPr>
          <w:lang w:eastAsia="en-AU"/>
        </w:rPr>
        <w:t xml:space="preserve">a </w:t>
      </w:r>
      <w:r w:rsidR="00D873C3" w:rsidRPr="009C6381">
        <w:t>foreign proceeding shall be recognised as</w:t>
      </w:r>
      <w:r w:rsidR="00D873C3">
        <w:t xml:space="preserve"> </w:t>
      </w:r>
      <w:r w:rsidR="00D873C3" w:rsidRPr="009C6381">
        <w:rPr>
          <w:lang w:eastAsia="en-AU"/>
        </w:rPr>
        <w:t xml:space="preserve">a foreign </w:t>
      </w:r>
      <w:r w:rsidR="00D873C3">
        <w:rPr>
          <w:lang w:eastAsia="en-AU"/>
        </w:rPr>
        <w:t>non-</w:t>
      </w:r>
      <w:r w:rsidR="00D873C3" w:rsidRPr="009C6381">
        <w:rPr>
          <w:lang w:eastAsia="en-AU"/>
        </w:rPr>
        <w:t xml:space="preserve">main proceeding </w:t>
      </w:r>
      <w:r w:rsidRPr="009C6381">
        <w:rPr>
          <w:rFonts w:cs="Tahoma"/>
          <w:color w:val="171717"/>
          <w:szCs w:val="20"/>
          <w:lang w:eastAsia="en-AU"/>
        </w:rPr>
        <w:t>if the debtor has an establishment in the foreign State.</w:t>
      </w:r>
      <w:r w:rsidR="00D873C3">
        <w:rPr>
          <w:rFonts w:cs="Tahoma"/>
          <w:color w:val="171717"/>
          <w:szCs w:val="20"/>
          <w:lang w:eastAsia="en-AU"/>
        </w:rPr>
        <w:t xml:space="preserve">  </w:t>
      </w:r>
      <w:r w:rsidR="000B2084" w:rsidRPr="000B2084">
        <w:t xml:space="preserve">"Establishment" </w:t>
      </w:r>
      <w:r w:rsidR="00000368">
        <w:t>is defined in Article 2(f) to mean</w:t>
      </w:r>
      <w:r w:rsidR="000B2084" w:rsidRPr="000B2084">
        <w:t xml:space="preserve"> "any place of operations where the debtor carries out a non-transitory economic activity with human means and goods or services."</w:t>
      </w:r>
      <w:r w:rsidR="002F381C">
        <w:t xml:space="preserve">  That is, it requires a permanent, or semi permanent, place of business.</w:t>
      </w:r>
    </w:p>
    <w:p w:rsidR="00F04F83" w:rsidRDefault="00F04F83" w:rsidP="00CB38E5"/>
    <w:p w:rsidR="004D6E08" w:rsidRDefault="004D6E08" w:rsidP="00CB38E5">
      <w:r>
        <w:t>Where an</w:t>
      </w:r>
      <w:r w:rsidR="00CB38E5" w:rsidRPr="00CB38E5">
        <w:t xml:space="preserve"> </w:t>
      </w:r>
      <w:r w:rsidR="00A325D8">
        <w:t>indivi</w:t>
      </w:r>
      <w:r>
        <w:t>dual</w:t>
      </w:r>
      <w:r w:rsidR="00A325D8">
        <w:t xml:space="preserve"> </w:t>
      </w:r>
      <w:r w:rsidR="00255B6C">
        <w:t>made bankrupt in a</w:t>
      </w:r>
      <w:r w:rsidR="00255B6C" w:rsidRPr="00CB38E5">
        <w:t xml:space="preserve"> foreign </w:t>
      </w:r>
      <w:r w:rsidR="00255B6C">
        <w:t>jurisdiction</w:t>
      </w:r>
      <w:r w:rsidR="00255B6C" w:rsidRPr="00CB38E5">
        <w:t xml:space="preserve"> </w:t>
      </w:r>
      <w:r w:rsidR="00A325D8">
        <w:t>reside</w:t>
      </w:r>
      <w:r>
        <w:t>s</w:t>
      </w:r>
      <w:r w:rsidR="00A325D8" w:rsidRPr="00A325D8">
        <w:t xml:space="preserve"> in Australia </w:t>
      </w:r>
      <w:r w:rsidR="00255B6C">
        <w:t>and no longer carries</w:t>
      </w:r>
      <w:r w:rsidR="00A325D8">
        <w:t xml:space="preserve"> on any permanent business</w:t>
      </w:r>
      <w:r w:rsidR="00255B6C">
        <w:t xml:space="preserve"> in the foreign jurisdiction</w:t>
      </w:r>
      <w:r>
        <w:t>, they neither have a</w:t>
      </w:r>
      <w:r w:rsidR="00A325D8">
        <w:t xml:space="preserve"> </w:t>
      </w:r>
      <w:r w:rsidR="00CB38E5" w:rsidRPr="00CB38E5">
        <w:t>C</w:t>
      </w:r>
      <w:r>
        <w:t xml:space="preserve">OMI in the foreign jurisdiction, nor do they have an </w:t>
      </w:r>
      <w:r w:rsidR="00CB38E5" w:rsidRPr="00CB38E5">
        <w:t xml:space="preserve">establishment </w:t>
      </w:r>
      <w:r>
        <w:t>in the foreign jurisdiction.  That leads to the situation w</w:t>
      </w:r>
      <w:r w:rsidR="005E79C3">
        <w:t>here the foreign bankruptcy can</w:t>
      </w:r>
      <w:r>
        <w:t>not be recognised under the Model Law as either a foreign main proceeding or a foreign non-main proceeding.</w:t>
      </w:r>
      <w:r w:rsidR="00D43001">
        <w:rPr>
          <w:rStyle w:val="FootnoteReference"/>
        </w:rPr>
        <w:footnoteReference w:id="10"/>
      </w:r>
      <w:r>
        <w:t xml:space="preserve"> </w:t>
      </w:r>
      <w:r w:rsidR="00CB38E5" w:rsidRPr="00CB38E5">
        <w:t xml:space="preserve"> </w:t>
      </w:r>
      <w:r w:rsidR="005E79C3">
        <w:t xml:space="preserve">That leaves the </w:t>
      </w:r>
      <w:r w:rsidR="00AA0848">
        <w:t xml:space="preserve">foreign representative </w:t>
      </w:r>
      <w:r w:rsidR="005E79C3">
        <w:t xml:space="preserve">with the </w:t>
      </w:r>
      <w:r w:rsidR="00252923">
        <w:t>fall back position</w:t>
      </w:r>
      <w:r w:rsidR="005E79C3">
        <w:t xml:space="preserve"> of using the</w:t>
      </w:r>
      <w:r w:rsidR="00AA0848">
        <w:t xml:space="preserve"> letter of request regime under section 29 of the </w:t>
      </w:r>
      <w:r w:rsidR="00AA0848" w:rsidRPr="00D311F3">
        <w:rPr>
          <w:i/>
        </w:rPr>
        <w:t>Bankruptcy Act 1966</w:t>
      </w:r>
      <w:r w:rsidR="00AA0848">
        <w:t xml:space="preserve"> (Cth)</w:t>
      </w:r>
      <w:r w:rsidR="00DD6EAD">
        <w:t xml:space="preserve"> (</w:t>
      </w:r>
      <w:r w:rsidR="006C59CA" w:rsidRPr="00DD6EAD">
        <w:rPr>
          <w:b/>
          <w:iCs/>
        </w:rPr>
        <w:t>Bankruptcy Act</w:t>
      </w:r>
      <w:r w:rsidR="006C59CA">
        <w:rPr>
          <w:iCs/>
        </w:rPr>
        <w:t>)</w:t>
      </w:r>
      <w:r w:rsidR="004D66DA">
        <w:rPr>
          <w:iCs/>
        </w:rPr>
        <w:t xml:space="preserve"> to seek assistance.</w:t>
      </w:r>
    </w:p>
    <w:p w:rsidR="004D6E08" w:rsidRDefault="004D6E08" w:rsidP="00CB38E5"/>
    <w:p w:rsidR="00A77422" w:rsidRDefault="00967ED2" w:rsidP="00CB38E5">
      <w:r>
        <w:t xml:space="preserve">The requirement for either COMI or an establishment to be present in the jurisdiction where </w:t>
      </w:r>
      <w:r w:rsidR="00DD0F96">
        <w:t xml:space="preserve">the </w:t>
      </w:r>
      <w:r>
        <w:t>foreign insolvency is taking place can also prevent recognition of foreign insolvencies in jurisdictions which allow filing with only limited connection to the jurisdiction.  In the US</w:t>
      </w:r>
      <w:r w:rsidR="00D311F3">
        <w:t>, for example</w:t>
      </w:r>
      <w:r>
        <w:t>, a debtor can</w:t>
      </w:r>
      <w:r w:rsidR="003D7383">
        <w:t xml:space="preserve"> establish jurisdiction to </w:t>
      </w:r>
      <w:r>
        <w:t xml:space="preserve">file for </w:t>
      </w:r>
      <w:r w:rsidRPr="00CB38E5">
        <w:t xml:space="preserve">Chapter 11 or </w:t>
      </w:r>
      <w:r w:rsidR="00D311F3">
        <w:t>another form</w:t>
      </w:r>
      <w:r>
        <w:t xml:space="preserve"> of </w:t>
      </w:r>
      <w:r w:rsidRPr="00CB38E5">
        <w:t xml:space="preserve">bankruptcy </w:t>
      </w:r>
      <w:r w:rsidR="003D7383">
        <w:t xml:space="preserve">if they </w:t>
      </w:r>
      <w:r w:rsidR="00694AFC">
        <w:t>have any</w:t>
      </w:r>
      <w:r w:rsidR="003D7383" w:rsidRPr="003D7383">
        <w:t xml:space="preserve"> property in the United States</w:t>
      </w:r>
      <w:r w:rsidR="00D311F3">
        <w:t>.</w:t>
      </w:r>
      <w:r w:rsidR="00D311F3">
        <w:rPr>
          <w:rStyle w:val="FootnoteReference"/>
        </w:rPr>
        <w:footnoteReference w:id="11"/>
      </w:r>
      <w:r w:rsidR="00D311F3">
        <w:t xml:space="preserve">  This</w:t>
      </w:r>
      <w:r w:rsidR="003D7383">
        <w:t xml:space="preserve"> requirement can be satisfied by having only nominal amounts</w:t>
      </w:r>
      <w:r w:rsidR="00DD0F96">
        <w:t xml:space="preserve"> in the US</w:t>
      </w:r>
      <w:r w:rsidR="003D7383">
        <w:t>, including funds</w:t>
      </w:r>
      <w:r w:rsidR="00D311F3">
        <w:t xml:space="preserve"> held on retainer by US lawyers</w:t>
      </w:r>
      <w:r w:rsidR="006E58F2">
        <w:t>.</w:t>
      </w:r>
      <w:r w:rsidR="00D311F3">
        <w:rPr>
          <w:rStyle w:val="FootnoteReference"/>
        </w:rPr>
        <w:footnoteReference w:id="12"/>
      </w:r>
      <w:r w:rsidR="00D311F3">
        <w:t xml:space="preserve">  </w:t>
      </w:r>
      <w:r w:rsidR="00694AFC">
        <w:t xml:space="preserve">  </w:t>
      </w:r>
    </w:p>
    <w:p w:rsidR="00A77422" w:rsidRDefault="00A77422" w:rsidP="00CB38E5"/>
    <w:p w:rsidR="00B003AA" w:rsidRDefault="00A77422" w:rsidP="00CB38E5">
      <w:r>
        <w:t xml:space="preserve">Similarly, </w:t>
      </w:r>
      <w:r w:rsidR="004205A4">
        <w:t xml:space="preserve">Singapore </w:t>
      </w:r>
      <w:r>
        <w:t xml:space="preserve">recently introduced amendments to its insolvency laws which included making it easier for foreign companies to file insolvency proceedings in Singapore.  A foreign company need only have a </w:t>
      </w:r>
      <w:r w:rsidRPr="00140842">
        <w:rPr>
          <w:rFonts w:cs="Tahoma"/>
          <w:color w:val="000000"/>
          <w:szCs w:val="20"/>
          <w:shd w:val="clear" w:color="auto" w:fill="FFFFFF"/>
        </w:rPr>
        <w:t>“substantial connection”</w:t>
      </w:r>
      <w:r w:rsidR="006B24AA">
        <w:rPr>
          <w:rFonts w:cs="Tahoma"/>
          <w:color w:val="000000"/>
          <w:szCs w:val="20"/>
          <w:shd w:val="clear" w:color="auto" w:fill="FFFFFF"/>
        </w:rPr>
        <w:t xml:space="preserve"> with Singapore</w:t>
      </w:r>
      <w:r w:rsidRPr="00140842">
        <w:rPr>
          <w:rFonts w:cs="Tahoma"/>
          <w:color w:val="000000"/>
          <w:szCs w:val="20"/>
          <w:shd w:val="clear" w:color="auto" w:fill="FFFFFF"/>
        </w:rPr>
        <w:t>, which includes carrying on business in Singapore, having substantial assets in Singapore or having Singapore law-governed finance documents.</w:t>
      </w:r>
      <w:r>
        <w:rPr>
          <w:rStyle w:val="FootnoteReference"/>
          <w:rFonts w:cs="Tahoma"/>
          <w:color w:val="000000"/>
          <w:szCs w:val="20"/>
          <w:shd w:val="clear" w:color="auto" w:fill="FFFFFF"/>
        </w:rPr>
        <w:footnoteReference w:id="13"/>
      </w:r>
      <w:r w:rsidRPr="00140842">
        <w:rPr>
          <w:rFonts w:cs="Tahoma"/>
          <w:color w:val="000000"/>
          <w:szCs w:val="20"/>
          <w:shd w:val="clear" w:color="auto" w:fill="FFFFFF"/>
        </w:rPr>
        <w:t> </w:t>
      </w:r>
      <w:r w:rsidR="004205A4">
        <w:t xml:space="preserve">  </w:t>
      </w:r>
    </w:p>
    <w:p w:rsidR="00140842" w:rsidRDefault="00140842" w:rsidP="00CB38E5"/>
    <w:p w:rsidR="00245D0B" w:rsidRDefault="00694AFC" w:rsidP="00CB38E5">
      <w:r>
        <w:t>A debtor company that relies on such limited jurisdictional connections to file for bankruptcy relief in the US</w:t>
      </w:r>
      <w:r w:rsidR="0044305F">
        <w:t xml:space="preserve"> or an insolvency proceeding in Singapore</w:t>
      </w:r>
      <w:r>
        <w:t xml:space="preserve">, </w:t>
      </w:r>
      <w:r w:rsidR="00CA7910">
        <w:t>may not</w:t>
      </w:r>
      <w:r>
        <w:t xml:space="preserve"> have either its COMI or an establishment in the US</w:t>
      </w:r>
      <w:r w:rsidR="001C6D94">
        <w:t xml:space="preserve"> </w:t>
      </w:r>
      <w:r w:rsidR="0044305F">
        <w:t xml:space="preserve">or Singapore </w:t>
      </w:r>
      <w:r w:rsidR="001C6D94">
        <w:t xml:space="preserve">and accordingly, the </w:t>
      </w:r>
      <w:r w:rsidR="004455A0">
        <w:t>foreign proceeding</w:t>
      </w:r>
      <w:r w:rsidR="001C6D94">
        <w:t xml:space="preserve"> </w:t>
      </w:r>
      <w:r w:rsidR="00CA7910">
        <w:t>may</w:t>
      </w:r>
      <w:r w:rsidR="001C6D94">
        <w:t xml:space="preserve"> not be </w:t>
      </w:r>
      <w:r w:rsidR="00CA7910">
        <w:t xml:space="preserve">able to be </w:t>
      </w:r>
      <w:r w:rsidR="001C6D94">
        <w:t>recognised in Australia under the Model Law.</w:t>
      </w:r>
      <w:r w:rsidR="00322ED2">
        <w:rPr>
          <w:rStyle w:val="FootnoteReference"/>
        </w:rPr>
        <w:footnoteReference w:id="14"/>
      </w:r>
      <w:r w:rsidR="0044305F">
        <w:t xml:space="preserve"> </w:t>
      </w:r>
      <w:r w:rsidR="00FB5DE3">
        <w:t xml:space="preserve"> </w:t>
      </w:r>
      <w:r w:rsidR="001C6D94">
        <w:t>This is a</w:t>
      </w:r>
      <w:r w:rsidR="00CB38E5" w:rsidRPr="00CB38E5">
        <w:t xml:space="preserve"> </w:t>
      </w:r>
      <w:r w:rsidR="0044305F">
        <w:t xml:space="preserve">concern as the ability to recognise </w:t>
      </w:r>
      <w:r w:rsidR="00A61BCE">
        <w:t xml:space="preserve">a foreign </w:t>
      </w:r>
      <w:r w:rsidR="0044305F">
        <w:t xml:space="preserve">insolvency proceeding in other jurisdictions </w:t>
      </w:r>
      <w:r w:rsidR="002A570D">
        <w:t xml:space="preserve">where the entity has assets </w:t>
      </w:r>
      <w:r w:rsidR="00610E4D">
        <w:t>may</w:t>
      </w:r>
      <w:r w:rsidR="0044305F">
        <w:t xml:space="preserve"> be a relevant facto</w:t>
      </w:r>
      <w:r w:rsidR="00143576">
        <w:t xml:space="preserve">r in deciding where to file the </w:t>
      </w:r>
      <w:r w:rsidR="0044305F">
        <w:t>proceeding.</w:t>
      </w:r>
      <w:r w:rsidR="00143576">
        <w:rPr>
          <w:rStyle w:val="FootnoteReference"/>
        </w:rPr>
        <w:footnoteReference w:id="15"/>
      </w:r>
    </w:p>
    <w:p w:rsidR="00245D0B" w:rsidRDefault="00245D0B" w:rsidP="00CB38E5"/>
    <w:p w:rsidR="00CB38E5" w:rsidRPr="00CB38E5" w:rsidRDefault="00245D0B" w:rsidP="00CB38E5">
      <w:r>
        <w:t>The</w:t>
      </w:r>
      <w:r w:rsidR="006D4C9D">
        <w:t xml:space="preserve"> issues associated with having to prove either COMI or an establishment in the foreign jurisdiction </w:t>
      </w:r>
      <w:r w:rsidR="0044305F">
        <w:t>could be avoided by Australia amending the definition of f</w:t>
      </w:r>
      <w:r w:rsidR="008C69E3">
        <w:t xml:space="preserve">oreign non-main </w:t>
      </w:r>
      <w:r w:rsidR="0044305F">
        <w:t>proceeding in our adoption of the Model Law.  In Canada, for example, when adopting the Model Law, they did so with a simplified</w:t>
      </w:r>
      <w:r w:rsidR="008C69E3">
        <w:t xml:space="preserve"> </w:t>
      </w:r>
      <w:r w:rsidR="008C69E3">
        <w:lastRenderedPageBreak/>
        <w:t>definition of foreign non-</w:t>
      </w:r>
      <w:r w:rsidR="00CB38E5" w:rsidRPr="00CB38E5">
        <w:t>main proceeding being ‘a foreign proceeding</w:t>
      </w:r>
      <w:r w:rsidR="00555088">
        <w:t>, other than a main proceeding’</w:t>
      </w:r>
      <w:r w:rsidR="006E58F2">
        <w:t>,</w:t>
      </w:r>
      <w:r w:rsidR="00F912AC">
        <w:rPr>
          <w:rStyle w:val="FootnoteReference"/>
        </w:rPr>
        <w:footnoteReference w:id="16"/>
      </w:r>
      <w:r w:rsidR="00555088">
        <w:t xml:space="preserve"> which has the effect of ensuring that fo</w:t>
      </w:r>
      <w:r w:rsidR="008C69E3">
        <w:t>reign proceedings will be a non-</w:t>
      </w:r>
      <w:r w:rsidR="00555088">
        <w:t>main proceeding if they are not a main proceeding.</w:t>
      </w:r>
    </w:p>
    <w:p w:rsidR="003C5FE3" w:rsidRPr="003C5FE3" w:rsidRDefault="003C5FE3" w:rsidP="00572852">
      <w:pPr>
        <w:pStyle w:val="LetterHeading"/>
      </w:pPr>
      <w:r w:rsidRPr="003C5FE3">
        <w:t>The limits to Article 23</w:t>
      </w:r>
    </w:p>
    <w:p w:rsidR="004A3098" w:rsidRDefault="004A3098" w:rsidP="006445FB"/>
    <w:p w:rsidR="006445FB" w:rsidRDefault="00F1023B" w:rsidP="006445FB">
      <w:r>
        <w:t>A</w:t>
      </w:r>
      <w:r w:rsidR="006445FB">
        <w:t>rticle 23 of the Model Law</w:t>
      </w:r>
      <w:r>
        <w:t xml:space="preserve"> </w:t>
      </w:r>
      <w:r w:rsidR="006445FB">
        <w:t>as enacted in Australia</w:t>
      </w:r>
      <w:r w:rsidR="006E58F2">
        <w:t>,</w:t>
      </w:r>
      <w:r w:rsidR="007B7774">
        <w:rPr>
          <w:rStyle w:val="FootnoteReference"/>
        </w:rPr>
        <w:footnoteReference w:id="17"/>
      </w:r>
      <w:r w:rsidR="006445FB">
        <w:t xml:space="preserve"> provides that, upon recognition of a foreign proceeding, the foreign representative has standing to initiate </w:t>
      </w:r>
      <w:r w:rsidR="00217DAD">
        <w:t xml:space="preserve">voidable transaction actions </w:t>
      </w:r>
      <w:r w:rsidR="006445FB" w:rsidRPr="006445FB">
        <w:t>arising under or because of:</w:t>
      </w:r>
    </w:p>
    <w:p w:rsidR="006445FB" w:rsidRPr="006445FB" w:rsidRDefault="006445FB" w:rsidP="006445FB"/>
    <w:p w:rsidR="006445FB" w:rsidRPr="006445FB" w:rsidRDefault="006445FB" w:rsidP="006445FB">
      <w:pPr>
        <w:numPr>
          <w:ilvl w:val="0"/>
          <w:numId w:val="2"/>
        </w:numPr>
      </w:pPr>
      <w:r w:rsidRPr="006445FB">
        <w:t>section 120, 121, 121A, 122, 128B or 128C or Division 4A of Part VI of the </w:t>
      </w:r>
      <w:r w:rsidRPr="006C59CA">
        <w:rPr>
          <w:iCs/>
        </w:rPr>
        <w:t>Bankruptcy A</w:t>
      </w:r>
      <w:r w:rsidR="006C59CA" w:rsidRPr="006C59CA">
        <w:rPr>
          <w:iCs/>
        </w:rPr>
        <w:t>ct</w:t>
      </w:r>
      <w:r w:rsidRPr="006445FB">
        <w:t>; or</w:t>
      </w:r>
    </w:p>
    <w:p w:rsidR="00B4044C" w:rsidRDefault="00B4044C" w:rsidP="00B4044C">
      <w:pPr>
        <w:ind w:left="709"/>
      </w:pPr>
    </w:p>
    <w:p w:rsidR="006445FB" w:rsidRPr="007B7774" w:rsidRDefault="006445FB" w:rsidP="006445FB">
      <w:pPr>
        <w:numPr>
          <w:ilvl w:val="0"/>
          <w:numId w:val="2"/>
        </w:numPr>
      </w:pPr>
      <w:r w:rsidRPr="006445FB">
        <w:t>Division 2 of Part 5.7B of the </w:t>
      </w:r>
      <w:r w:rsidRPr="006445FB">
        <w:rPr>
          <w:i/>
          <w:iCs/>
        </w:rPr>
        <w:t>Corporations Act 2001</w:t>
      </w:r>
      <w:r w:rsidR="007B7774">
        <w:rPr>
          <w:i/>
          <w:iCs/>
        </w:rPr>
        <w:t xml:space="preserve"> </w:t>
      </w:r>
      <w:r w:rsidR="007B7774" w:rsidRPr="007B7774">
        <w:rPr>
          <w:iCs/>
        </w:rPr>
        <w:t>(Cth)</w:t>
      </w:r>
      <w:r w:rsidRPr="007B7774">
        <w:t>.</w:t>
      </w:r>
    </w:p>
    <w:p w:rsidR="006445FB" w:rsidRDefault="006445FB" w:rsidP="003E2117"/>
    <w:p w:rsidR="001E6478" w:rsidRDefault="002626FE" w:rsidP="00CB38E5">
      <w:pPr>
        <w:rPr>
          <w:lang w:val="en-US"/>
        </w:rPr>
      </w:pPr>
      <w:r>
        <w:t xml:space="preserve">In the recent decision of </w:t>
      </w:r>
      <w:r w:rsidR="003E2117" w:rsidRPr="00CB38E5">
        <w:rPr>
          <w:i/>
          <w:iCs/>
          <w:lang w:val="en-US"/>
        </w:rPr>
        <w:t>King (Trustee), in the matter of Zetta Jet Pte Ltd v Linkage Access Limited</w:t>
      </w:r>
      <w:r w:rsidR="006E58F2">
        <w:rPr>
          <w:i/>
          <w:iCs/>
          <w:lang w:val="en-US"/>
        </w:rPr>
        <w:t>,</w:t>
      </w:r>
      <w:r w:rsidR="001E51F4">
        <w:rPr>
          <w:rStyle w:val="FootnoteReference"/>
          <w:i/>
          <w:iCs/>
          <w:lang w:val="en-US"/>
        </w:rPr>
        <w:footnoteReference w:id="18"/>
      </w:r>
      <w:r w:rsidR="00996160">
        <w:rPr>
          <w:lang w:val="en-US"/>
        </w:rPr>
        <w:t xml:space="preserve"> </w:t>
      </w:r>
      <w:r w:rsidR="00996160" w:rsidRPr="00996160">
        <w:t xml:space="preserve">Justice Perram </w:t>
      </w:r>
      <w:r w:rsidR="00996160">
        <w:t xml:space="preserve">confirmed </w:t>
      </w:r>
      <w:r w:rsidR="003E2117" w:rsidRPr="00CB38E5">
        <w:rPr>
          <w:lang w:val="en-US"/>
        </w:rPr>
        <w:t>that Art</w:t>
      </w:r>
      <w:r w:rsidR="00996160">
        <w:rPr>
          <w:lang w:val="en-US"/>
        </w:rPr>
        <w:t>icle</w:t>
      </w:r>
      <w:r w:rsidR="003E2117" w:rsidRPr="00CB38E5">
        <w:rPr>
          <w:lang w:val="en-US"/>
        </w:rPr>
        <w:t xml:space="preserve"> 23</w:t>
      </w:r>
      <w:r w:rsidR="00996160">
        <w:rPr>
          <w:lang w:val="en-US"/>
        </w:rPr>
        <w:t xml:space="preserve"> of the Model Law</w:t>
      </w:r>
      <w:r w:rsidR="001E6478">
        <w:rPr>
          <w:lang w:val="en-US"/>
        </w:rPr>
        <w:t>,</w:t>
      </w:r>
      <w:r w:rsidR="00996160">
        <w:rPr>
          <w:lang w:val="en-US"/>
        </w:rPr>
        <w:t xml:space="preserve"> whilst</w:t>
      </w:r>
      <w:r w:rsidR="001E6478">
        <w:rPr>
          <w:lang w:val="en-US"/>
        </w:rPr>
        <w:t xml:space="preserve"> </w:t>
      </w:r>
      <w:r w:rsidR="003E2117" w:rsidRPr="00CB38E5">
        <w:rPr>
          <w:lang w:val="en-US"/>
        </w:rPr>
        <w:t>giving foreign representative</w:t>
      </w:r>
      <w:r w:rsidR="00996160">
        <w:rPr>
          <w:lang w:val="en-US"/>
        </w:rPr>
        <w:t>s</w:t>
      </w:r>
      <w:r w:rsidR="003E2117" w:rsidRPr="00CB38E5">
        <w:rPr>
          <w:lang w:val="en-US"/>
        </w:rPr>
        <w:t xml:space="preserve"> “standing” to initiate </w:t>
      </w:r>
      <w:r w:rsidR="00E3164A">
        <w:rPr>
          <w:lang w:val="en-US"/>
        </w:rPr>
        <w:t xml:space="preserve">such </w:t>
      </w:r>
      <w:r w:rsidR="003E2117" w:rsidRPr="00CB38E5">
        <w:rPr>
          <w:lang w:val="en-US"/>
        </w:rPr>
        <w:t xml:space="preserve">claims, does not create any cause of action that the </w:t>
      </w:r>
      <w:r w:rsidR="00996160">
        <w:rPr>
          <w:lang w:val="en-US"/>
        </w:rPr>
        <w:t xml:space="preserve">foreign </w:t>
      </w:r>
      <w:r w:rsidR="003E2117" w:rsidRPr="00CB38E5">
        <w:rPr>
          <w:lang w:val="en-US"/>
        </w:rPr>
        <w:t xml:space="preserve">representative can enforce if </w:t>
      </w:r>
      <w:r w:rsidR="00E3164A">
        <w:rPr>
          <w:lang w:val="en-US"/>
        </w:rPr>
        <w:t>the</w:t>
      </w:r>
      <w:r w:rsidR="003E2117" w:rsidRPr="00CB38E5">
        <w:rPr>
          <w:lang w:val="en-US"/>
        </w:rPr>
        <w:t xml:space="preserve"> domestic laws do not confer</w:t>
      </w:r>
      <w:r w:rsidR="00996160">
        <w:rPr>
          <w:lang w:val="en-US"/>
        </w:rPr>
        <w:t xml:space="preserve"> such a cause of action</w:t>
      </w:r>
      <w:r w:rsidR="003E2117" w:rsidRPr="00CB38E5">
        <w:rPr>
          <w:lang w:val="en-US"/>
        </w:rPr>
        <w:t xml:space="preserve">.  </w:t>
      </w:r>
    </w:p>
    <w:p w:rsidR="001E6478" w:rsidRDefault="001E6478" w:rsidP="00CB38E5">
      <w:pPr>
        <w:rPr>
          <w:lang w:val="en-US"/>
        </w:rPr>
      </w:pPr>
    </w:p>
    <w:p w:rsidR="001E7ED3" w:rsidRDefault="00941491" w:rsidP="00CB38E5">
      <w:pPr>
        <w:rPr>
          <w:lang w:val="en-US"/>
        </w:rPr>
      </w:pPr>
      <w:r>
        <w:rPr>
          <w:lang w:val="en-US"/>
        </w:rPr>
        <w:t>In the Zetta Jet matter, f</w:t>
      </w:r>
      <w:r w:rsidR="001400EC">
        <w:rPr>
          <w:lang w:val="en-US"/>
        </w:rPr>
        <w:t>ollowing recognition of the US bankruptcy of Zetta Jet Pte Ltd (a Singaporean registered company)</w:t>
      </w:r>
      <w:r w:rsidR="006C35AC">
        <w:rPr>
          <w:lang w:val="en-US"/>
        </w:rPr>
        <w:t xml:space="preserve">, the </w:t>
      </w:r>
      <w:r w:rsidR="001400EC">
        <w:rPr>
          <w:lang w:val="en-US"/>
        </w:rPr>
        <w:t xml:space="preserve">foreign representative </w:t>
      </w:r>
      <w:r w:rsidR="00E3164A">
        <w:rPr>
          <w:lang w:val="en-US"/>
        </w:rPr>
        <w:t xml:space="preserve">sought to </w:t>
      </w:r>
      <w:r w:rsidR="006C35AC">
        <w:rPr>
          <w:lang w:val="en-US"/>
        </w:rPr>
        <w:t xml:space="preserve">commence an action to set aside certain transactions entered into by </w:t>
      </w:r>
      <w:r w:rsidR="006C35AC" w:rsidRPr="006C35AC">
        <w:rPr>
          <w:iCs/>
          <w:lang w:val="en-US"/>
        </w:rPr>
        <w:t>Zetta Jet Pte Ltd as voidable transactions</w:t>
      </w:r>
      <w:r w:rsidR="006C35AC">
        <w:rPr>
          <w:i/>
          <w:iCs/>
          <w:lang w:val="en-US"/>
        </w:rPr>
        <w:t xml:space="preserve"> </w:t>
      </w:r>
      <w:r w:rsidR="006C35AC">
        <w:rPr>
          <w:iCs/>
          <w:lang w:val="en-US"/>
        </w:rPr>
        <w:t xml:space="preserve">under section 588FB of the Corporations Act.  </w:t>
      </w:r>
      <w:r w:rsidR="005F2ABD">
        <w:rPr>
          <w:iCs/>
          <w:lang w:val="en-US"/>
        </w:rPr>
        <w:t xml:space="preserve">However, section 588FB </w:t>
      </w:r>
      <w:r w:rsidR="00281DA6">
        <w:rPr>
          <w:iCs/>
          <w:lang w:val="en-US"/>
        </w:rPr>
        <w:t>is concerned with</w:t>
      </w:r>
      <w:r w:rsidR="005F2ABD">
        <w:rPr>
          <w:iCs/>
          <w:lang w:val="en-US"/>
        </w:rPr>
        <w:t xml:space="preserve"> a transaction of a </w:t>
      </w:r>
      <w:r w:rsidR="00281DA6">
        <w:rPr>
          <w:iCs/>
          <w:lang w:val="en-US"/>
        </w:rPr>
        <w:t>‘</w:t>
      </w:r>
      <w:r w:rsidR="005F2ABD">
        <w:rPr>
          <w:iCs/>
          <w:lang w:val="en-US"/>
        </w:rPr>
        <w:t>company</w:t>
      </w:r>
      <w:r w:rsidR="00281DA6">
        <w:rPr>
          <w:iCs/>
          <w:lang w:val="en-US"/>
        </w:rPr>
        <w:t>’</w:t>
      </w:r>
      <w:r w:rsidR="005F2ABD">
        <w:rPr>
          <w:iCs/>
          <w:lang w:val="en-US"/>
        </w:rPr>
        <w:t xml:space="preserve"> and</w:t>
      </w:r>
      <w:r w:rsidR="00281DA6">
        <w:rPr>
          <w:iCs/>
          <w:lang w:val="en-US"/>
        </w:rPr>
        <w:t>,</w:t>
      </w:r>
      <w:r w:rsidR="005F2ABD">
        <w:rPr>
          <w:iCs/>
          <w:lang w:val="en-US"/>
        </w:rPr>
        <w:t xml:space="preserve"> to be a company under the Corporations Act, Zetta Jet</w:t>
      </w:r>
      <w:r w:rsidR="00281DA6">
        <w:rPr>
          <w:iCs/>
          <w:lang w:val="en-US"/>
        </w:rPr>
        <w:t>, as a foreign company,</w:t>
      </w:r>
      <w:r w:rsidR="005F2ABD">
        <w:rPr>
          <w:iCs/>
          <w:lang w:val="en-US"/>
        </w:rPr>
        <w:t xml:space="preserve"> needed to be </w:t>
      </w:r>
      <w:r w:rsidR="005F2ABD" w:rsidRPr="005F2ABD">
        <w:rPr>
          <w:lang w:val="en-US"/>
        </w:rPr>
        <w:t xml:space="preserve">registered </w:t>
      </w:r>
      <w:r w:rsidR="005F2ABD">
        <w:rPr>
          <w:lang w:val="en-US"/>
        </w:rPr>
        <w:t>as a foreign company with ASIC or</w:t>
      </w:r>
      <w:r w:rsidR="00281DA6">
        <w:rPr>
          <w:lang w:val="en-US"/>
        </w:rPr>
        <w:t>,</w:t>
      </w:r>
      <w:r w:rsidR="005F2ABD">
        <w:rPr>
          <w:lang w:val="en-US"/>
        </w:rPr>
        <w:t xml:space="preserve"> </w:t>
      </w:r>
      <w:r w:rsidR="007E72F5">
        <w:rPr>
          <w:lang w:val="en-US"/>
        </w:rPr>
        <w:t xml:space="preserve">if not so registered, </w:t>
      </w:r>
      <w:r w:rsidR="005F2ABD" w:rsidRPr="005F2ABD">
        <w:rPr>
          <w:lang w:val="en-US"/>
        </w:rPr>
        <w:t>must</w:t>
      </w:r>
      <w:r w:rsidR="005F2ABD">
        <w:rPr>
          <w:lang w:val="en-US"/>
        </w:rPr>
        <w:t xml:space="preserve"> </w:t>
      </w:r>
      <w:r w:rsidR="00281DA6">
        <w:rPr>
          <w:lang w:val="en-US"/>
        </w:rPr>
        <w:t>have carried</w:t>
      </w:r>
      <w:r w:rsidR="005F2ABD">
        <w:rPr>
          <w:lang w:val="en-US"/>
        </w:rPr>
        <w:t xml:space="preserve"> on business in Australia</w:t>
      </w:r>
      <w:r w:rsidR="005F2ABD" w:rsidRPr="005F2ABD">
        <w:rPr>
          <w:lang w:val="en-US"/>
        </w:rPr>
        <w:t xml:space="preserve">. </w:t>
      </w:r>
      <w:r w:rsidR="005F2ABD">
        <w:rPr>
          <w:lang w:val="en-US"/>
        </w:rPr>
        <w:t xml:space="preserve"> Zetta Jet </w:t>
      </w:r>
      <w:r w:rsidR="007E72F5">
        <w:rPr>
          <w:lang w:val="en-US"/>
        </w:rPr>
        <w:t xml:space="preserve">had done </w:t>
      </w:r>
      <w:r w:rsidR="001E7ED3">
        <w:rPr>
          <w:lang w:val="en-US"/>
        </w:rPr>
        <w:t>neither</w:t>
      </w:r>
      <w:r w:rsidR="007E72F5">
        <w:rPr>
          <w:lang w:val="en-US"/>
        </w:rPr>
        <w:t>.  Accordingly, the foreign representative could not bring a voidable transaction claim.</w:t>
      </w:r>
    </w:p>
    <w:p w:rsidR="007E72F5" w:rsidRDefault="007E72F5" w:rsidP="00CB38E5">
      <w:pPr>
        <w:rPr>
          <w:lang w:val="en-US"/>
        </w:rPr>
      </w:pPr>
    </w:p>
    <w:p w:rsidR="00250805" w:rsidRDefault="007E72F5" w:rsidP="00CB38E5">
      <w:pPr>
        <w:rPr>
          <w:lang w:val="en-US"/>
        </w:rPr>
      </w:pPr>
      <w:r>
        <w:rPr>
          <w:lang w:val="en-US"/>
        </w:rPr>
        <w:t xml:space="preserve">This to me is a distinct shortcoming of the way the Model Law operates.  It means that Article 23 of the Model Law </w:t>
      </w:r>
      <w:r w:rsidR="00AB3834">
        <w:rPr>
          <w:lang w:val="en-US"/>
        </w:rPr>
        <w:t xml:space="preserve">is </w:t>
      </w:r>
      <w:r w:rsidR="00E60F0F">
        <w:rPr>
          <w:lang w:val="en-US"/>
        </w:rPr>
        <w:t>useless</w:t>
      </w:r>
      <w:r>
        <w:rPr>
          <w:lang w:val="en-US"/>
        </w:rPr>
        <w:t xml:space="preserve"> </w:t>
      </w:r>
      <w:r w:rsidR="00941491">
        <w:rPr>
          <w:lang w:val="en-US"/>
        </w:rPr>
        <w:t>unless</w:t>
      </w:r>
      <w:r>
        <w:rPr>
          <w:lang w:val="en-US"/>
        </w:rPr>
        <w:t xml:space="preserve"> a foreign </w:t>
      </w:r>
      <w:r w:rsidR="00E60F0F">
        <w:rPr>
          <w:lang w:val="en-US"/>
        </w:rPr>
        <w:t>company</w:t>
      </w:r>
      <w:r>
        <w:rPr>
          <w:lang w:val="en-US"/>
        </w:rPr>
        <w:t xml:space="preserve"> </w:t>
      </w:r>
      <w:r w:rsidR="00941491">
        <w:rPr>
          <w:lang w:val="en-US"/>
        </w:rPr>
        <w:t>satisfies</w:t>
      </w:r>
      <w:r w:rsidR="00B3493A">
        <w:rPr>
          <w:lang w:val="en-US"/>
        </w:rPr>
        <w:t xml:space="preserve"> the test of being a company under the Corporations Act.</w:t>
      </w:r>
      <w:r>
        <w:rPr>
          <w:lang w:val="en-US"/>
        </w:rPr>
        <w:t xml:space="preserve"> </w:t>
      </w:r>
      <w:r w:rsidR="00C77F34">
        <w:rPr>
          <w:lang w:val="en-US"/>
        </w:rPr>
        <w:t xml:space="preserve"> </w:t>
      </w:r>
      <w:r w:rsidR="00DD6EAD">
        <w:rPr>
          <w:lang w:val="en-US"/>
        </w:rPr>
        <w:t>S</w:t>
      </w:r>
      <w:r w:rsidR="00C77F34">
        <w:rPr>
          <w:lang w:val="en-US"/>
        </w:rPr>
        <w:t xml:space="preserve">imilar restrictions </w:t>
      </w:r>
      <w:r w:rsidR="00DD6EAD">
        <w:rPr>
          <w:lang w:val="en-US"/>
        </w:rPr>
        <w:t>on commencing voidable transaction actions under the Bankruptcy Act are likely to apply to</w:t>
      </w:r>
      <w:r w:rsidR="00C77F34">
        <w:rPr>
          <w:lang w:val="en-US"/>
        </w:rPr>
        <w:t xml:space="preserve"> foreign representatives of the insolvent estate of individuals</w:t>
      </w:r>
      <w:r w:rsidR="00D71AE1">
        <w:rPr>
          <w:lang w:val="en-US"/>
        </w:rPr>
        <w:t>.</w:t>
      </w:r>
      <w:r w:rsidR="00DD6EAD">
        <w:rPr>
          <w:rStyle w:val="FootnoteReference"/>
          <w:lang w:val="en-US"/>
        </w:rPr>
        <w:footnoteReference w:id="19"/>
      </w:r>
      <w:r w:rsidR="00EC0A0A">
        <w:rPr>
          <w:lang w:val="en-US"/>
        </w:rPr>
        <w:t xml:space="preserve">  </w:t>
      </w:r>
    </w:p>
    <w:p w:rsidR="00250805" w:rsidRDefault="00250805" w:rsidP="00CB38E5">
      <w:pPr>
        <w:rPr>
          <w:lang w:val="en-US"/>
        </w:rPr>
      </w:pPr>
    </w:p>
    <w:p w:rsidR="001E7ED3" w:rsidRDefault="00250805" w:rsidP="00CB38E5">
      <w:pPr>
        <w:rPr>
          <w:lang w:val="en-US"/>
        </w:rPr>
      </w:pPr>
      <w:r>
        <w:rPr>
          <w:lang w:val="en-US"/>
        </w:rPr>
        <w:t>Given these issues, i</w:t>
      </w:r>
      <w:r w:rsidR="00EC0A0A">
        <w:rPr>
          <w:lang w:val="en-US"/>
        </w:rPr>
        <w:t xml:space="preserve">n my view, consideration should be given to amending the way Article 23 is incorporated to </w:t>
      </w:r>
      <w:r w:rsidR="005941EB">
        <w:rPr>
          <w:lang w:val="en-US"/>
        </w:rPr>
        <w:t xml:space="preserve">grant </w:t>
      </w:r>
      <w:r w:rsidR="00BB1A44">
        <w:rPr>
          <w:lang w:val="en-US"/>
        </w:rPr>
        <w:t xml:space="preserve">automatic </w:t>
      </w:r>
      <w:r w:rsidR="005941EB">
        <w:rPr>
          <w:lang w:val="en-US"/>
        </w:rPr>
        <w:t xml:space="preserve">jurisdiction to foreign representatives to take such </w:t>
      </w:r>
      <w:r w:rsidR="00EC0A0A">
        <w:rPr>
          <w:lang w:val="en-US"/>
        </w:rPr>
        <w:t>voidable transaction claims</w:t>
      </w:r>
      <w:r w:rsidR="00BB1A44">
        <w:rPr>
          <w:lang w:val="en-US"/>
        </w:rPr>
        <w:t xml:space="preserve"> once the fo</w:t>
      </w:r>
      <w:r w:rsidR="005C4568">
        <w:rPr>
          <w:lang w:val="en-US"/>
        </w:rPr>
        <w:t>reign insolvency has been recog</w:t>
      </w:r>
      <w:r w:rsidR="00B418FA">
        <w:rPr>
          <w:lang w:val="en-US"/>
        </w:rPr>
        <w:t>n</w:t>
      </w:r>
      <w:r w:rsidR="00BB1A44">
        <w:rPr>
          <w:lang w:val="en-US"/>
        </w:rPr>
        <w:t>ised</w:t>
      </w:r>
      <w:r w:rsidR="00EC0A0A">
        <w:rPr>
          <w:lang w:val="en-US"/>
        </w:rPr>
        <w:t>.</w:t>
      </w:r>
      <w:r w:rsidR="00032C2C">
        <w:rPr>
          <w:lang w:val="en-US"/>
        </w:rPr>
        <w:t xml:space="preserve">  </w:t>
      </w:r>
      <w:r w:rsidR="00032C2C" w:rsidRPr="00032C2C">
        <w:rPr>
          <w:lang w:val="en-US"/>
        </w:rPr>
        <w:t>UNCITRAL’s W</w:t>
      </w:r>
      <w:r w:rsidR="00032C2C">
        <w:rPr>
          <w:lang w:val="en-US"/>
        </w:rPr>
        <w:t xml:space="preserve">orking </w:t>
      </w:r>
      <w:r w:rsidR="00032C2C" w:rsidRPr="00032C2C">
        <w:rPr>
          <w:lang w:val="en-US"/>
        </w:rPr>
        <w:t>G</w:t>
      </w:r>
      <w:r w:rsidR="00032C2C">
        <w:rPr>
          <w:lang w:val="en-US"/>
        </w:rPr>
        <w:t xml:space="preserve">roup </w:t>
      </w:r>
      <w:r w:rsidR="00032C2C" w:rsidRPr="00032C2C">
        <w:rPr>
          <w:lang w:val="en-US"/>
        </w:rPr>
        <w:t>V will be considering such choice of law issues in a colloquium discussions in New York in May next year and so it may be that UNCITRAL can come up with some guidance on this point in due course.</w:t>
      </w:r>
    </w:p>
    <w:p w:rsidR="003C5FE3" w:rsidRPr="003C5FE3" w:rsidRDefault="004D0F52" w:rsidP="00572852">
      <w:pPr>
        <w:pStyle w:val="LetterHeading"/>
      </w:pPr>
      <w:r>
        <w:t>When COMI is to be determined</w:t>
      </w:r>
    </w:p>
    <w:p w:rsidR="003C5FE3" w:rsidRDefault="003C5FE3" w:rsidP="00CB38E5"/>
    <w:p w:rsidR="00BE2BB9" w:rsidRDefault="00BE2BB9" w:rsidP="00CB38E5">
      <w:r>
        <w:t xml:space="preserve">There remains a question in Australia as to what is the appropriate time to consider whether the foreign proceeding is a foreign main or </w:t>
      </w:r>
      <w:r w:rsidR="004E1A69">
        <w:t xml:space="preserve">foreign </w:t>
      </w:r>
      <w:r>
        <w:t>non-main proceeding.</w:t>
      </w:r>
    </w:p>
    <w:p w:rsidR="00396379" w:rsidRDefault="00396379" w:rsidP="00F23968"/>
    <w:p w:rsidR="00396379" w:rsidRDefault="00246483" w:rsidP="00F23968">
      <w:r>
        <w:t xml:space="preserve">Recently in </w:t>
      </w:r>
      <w:r w:rsidRPr="00F0219C">
        <w:rPr>
          <w:i/>
        </w:rPr>
        <w:t>King, in the matter of Zetta Jet Pte Ltd</w:t>
      </w:r>
      <w:r>
        <w:rPr>
          <w:rStyle w:val="FootnoteReference"/>
          <w:i/>
        </w:rPr>
        <w:footnoteReference w:id="20"/>
      </w:r>
      <w:r>
        <w:t xml:space="preserve"> Perram </w:t>
      </w:r>
      <w:r w:rsidR="00370C4D">
        <w:t xml:space="preserve">J </w:t>
      </w:r>
      <w:r>
        <w:t xml:space="preserve">decided </w:t>
      </w:r>
      <w:r w:rsidRPr="00BE2BB9">
        <w:t xml:space="preserve">the question </w:t>
      </w:r>
      <w:r>
        <w:t>should be</w:t>
      </w:r>
      <w:r w:rsidRPr="00BE2BB9">
        <w:t xml:space="preserve"> asked at the time that</w:t>
      </w:r>
      <w:r>
        <w:t xml:space="preserve"> </w:t>
      </w:r>
      <w:r w:rsidRPr="00BE2BB9">
        <w:t>the foreign insolvency proceeding is opened</w:t>
      </w:r>
      <w:r w:rsidR="00350C5B">
        <w:t xml:space="preserve">.  </w:t>
      </w:r>
      <w:r w:rsidR="00626679">
        <w:t>This followed the approach of Beach</w:t>
      </w:r>
      <w:r w:rsidR="00370C4D">
        <w:t xml:space="preserve"> J</w:t>
      </w:r>
      <w:r w:rsidR="00626679">
        <w:t xml:space="preserve"> in </w:t>
      </w:r>
      <w:r w:rsidR="00626679" w:rsidRPr="00BE2BB9">
        <w:rPr>
          <w:i/>
          <w:iCs/>
        </w:rPr>
        <w:t>Kapila, in the matter of Edelsten</w:t>
      </w:r>
      <w:r w:rsidR="00626679">
        <w:rPr>
          <w:rStyle w:val="FootnoteReference"/>
          <w:i/>
          <w:iCs/>
        </w:rPr>
        <w:footnoteReference w:id="21"/>
      </w:r>
      <w:r w:rsidR="00626679">
        <w:rPr>
          <w:i/>
          <w:iCs/>
        </w:rPr>
        <w:t xml:space="preserve"> </w:t>
      </w:r>
      <w:r w:rsidR="00626679" w:rsidRPr="00E9168F">
        <w:rPr>
          <w:iCs/>
        </w:rPr>
        <w:t>(</w:t>
      </w:r>
      <w:r w:rsidR="00626679" w:rsidRPr="00E9168F">
        <w:rPr>
          <w:b/>
          <w:iCs/>
        </w:rPr>
        <w:t>Kapila</w:t>
      </w:r>
      <w:r w:rsidR="00626679" w:rsidRPr="00E9168F">
        <w:rPr>
          <w:iCs/>
        </w:rPr>
        <w:t>)</w:t>
      </w:r>
      <w:r w:rsidR="00626679">
        <w:t xml:space="preserve">.  Perram </w:t>
      </w:r>
      <w:r w:rsidR="00833230">
        <w:t xml:space="preserve">J </w:t>
      </w:r>
      <w:r w:rsidR="00626679">
        <w:t>noted that t</w:t>
      </w:r>
      <w:r w:rsidR="00F23968">
        <w:t>his would avoid the situation where</w:t>
      </w:r>
      <w:r w:rsidR="003B6C76">
        <w:t xml:space="preserve"> the debtor had an establishment in the </w:t>
      </w:r>
      <w:r w:rsidR="00737CB2">
        <w:t xml:space="preserve">foreign </w:t>
      </w:r>
      <w:r w:rsidR="003B6C76">
        <w:t xml:space="preserve">country </w:t>
      </w:r>
      <w:r w:rsidR="00737CB2">
        <w:t>when</w:t>
      </w:r>
      <w:r w:rsidR="003B6C76">
        <w:t xml:space="preserve"> the insolvency </w:t>
      </w:r>
      <w:r w:rsidR="00737CB2">
        <w:t>commenced</w:t>
      </w:r>
      <w:r w:rsidR="003B6C76">
        <w:t xml:space="preserve">, but no longer </w:t>
      </w:r>
      <w:r w:rsidR="006F1103">
        <w:lastRenderedPageBreak/>
        <w:t xml:space="preserve">had </w:t>
      </w:r>
      <w:r w:rsidR="00737CB2">
        <w:t xml:space="preserve">one </w:t>
      </w:r>
      <w:r w:rsidR="006F1103">
        <w:t>at the time of filing the recognition proceedings</w:t>
      </w:r>
      <w:r w:rsidR="00737CB2">
        <w:t>,</w:t>
      </w:r>
      <w:r w:rsidR="003B6C76">
        <w:t xml:space="preserve"> because the operations had been closed down </w:t>
      </w:r>
      <w:r w:rsidR="00626679">
        <w:t>by the foreign representative.</w:t>
      </w:r>
      <w:r w:rsidR="00626679">
        <w:rPr>
          <w:rStyle w:val="FootnoteReference"/>
        </w:rPr>
        <w:footnoteReference w:id="22"/>
      </w:r>
      <w:r w:rsidR="000A7043">
        <w:t xml:space="preserve"> </w:t>
      </w:r>
    </w:p>
    <w:p w:rsidR="00396379" w:rsidRDefault="00396379" w:rsidP="00F23968"/>
    <w:p w:rsidR="00396379" w:rsidRDefault="000A7043" w:rsidP="00396379">
      <w:r>
        <w:t xml:space="preserve">This approach is consistent with the current </w:t>
      </w:r>
      <w:r w:rsidRPr="000A7043">
        <w:t xml:space="preserve">Guide to Enactment and Interpretation </w:t>
      </w:r>
      <w:r>
        <w:t xml:space="preserve">of the Model Law </w:t>
      </w:r>
      <w:r w:rsidR="00396379">
        <w:t>issued by UNCITRAL in January 2014</w:t>
      </w:r>
      <w:r>
        <w:t>.</w:t>
      </w:r>
      <w:r w:rsidR="00396379">
        <w:rPr>
          <w:rStyle w:val="FootnoteReference"/>
        </w:rPr>
        <w:footnoteReference w:id="23"/>
      </w:r>
      <w:r w:rsidR="00396379" w:rsidRPr="000A7043">
        <w:t xml:space="preserve"> </w:t>
      </w:r>
      <w:r>
        <w:t xml:space="preserve"> </w:t>
      </w:r>
      <w:r w:rsidR="00396379">
        <w:t xml:space="preserve">UNCITRAL’s original </w:t>
      </w:r>
      <w:r w:rsidR="00396379" w:rsidRPr="000A7043">
        <w:t>Guide to Enactment</w:t>
      </w:r>
      <w:r w:rsidR="00396379">
        <w:t xml:space="preserve"> issued in 1997</w:t>
      </w:r>
      <w:r w:rsidR="000312F8">
        <w:t>,</w:t>
      </w:r>
      <w:r w:rsidR="00396379">
        <w:t xml:space="preserve"> when the Model Law was first adopted</w:t>
      </w:r>
      <w:r w:rsidR="000312F8">
        <w:t>,</w:t>
      </w:r>
      <w:r w:rsidR="00396379">
        <w:t xml:space="preserve"> </w:t>
      </w:r>
      <w:r w:rsidR="00396379" w:rsidRPr="000A7043">
        <w:t>said nothing about the relevant date for determining a debtor’s COMI or the existence of an establishment.</w:t>
      </w:r>
      <w:r w:rsidR="00396379">
        <w:t xml:space="preserve">  </w:t>
      </w:r>
      <w:r w:rsidR="00396379" w:rsidRPr="000A7043">
        <w:t>This inclusion and the reasoning behind it have</w:t>
      </w:r>
      <w:r w:rsidR="00762C08">
        <w:t>, however,</w:t>
      </w:r>
      <w:r w:rsidR="00396379">
        <w:t xml:space="preserve"> been the subject of well reasoned and</w:t>
      </w:r>
      <w:r w:rsidR="0015656D">
        <w:t>, in my view,</w:t>
      </w:r>
      <w:r w:rsidR="00396379">
        <w:t xml:space="preserve"> persuasive academic criticism.</w:t>
      </w:r>
      <w:r w:rsidR="00396379">
        <w:rPr>
          <w:rStyle w:val="FootnoteReference"/>
        </w:rPr>
        <w:footnoteReference w:id="24"/>
      </w:r>
    </w:p>
    <w:p w:rsidR="00246483" w:rsidRDefault="00246483" w:rsidP="00F0219C"/>
    <w:p w:rsidR="00FD70F2" w:rsidRDefault="00961A79" w:rsidP="00EE6182">
      <w:r>
        <w:t>Earlier i</w:t>
      </w:r>
      <w:r w:rsidR="00F0219C">
        <w:t xml:space="preserve">n </w:t>
      </w:r>
      <w:r w:rsidR="00F0219C" w:rsidRPr="00F0219C">
        <w:rPr>
          <w:i/>
          <w:iCs/>
        </w:rPr>
        <w:t>Gainsford v Tannenbaum</w:t>
      </w:r>
      <w:r w:rsidR="00F0219C">
        <w:rPr>
          <w:rStyle w:val="FootnoteReference"/>
          <w:i/>
          <w:iCs/>
        </w:rPr>
        <w:footnoteReference w:id="25"/>
      </w:r>
      <w:r w:rsidR="00F0219C" w:rsidRPr="00F0219C">
        <w:rPr>
          <w:i/>
          <w:iCs/>
        </w:rPr>
        <w:t xml:space="preserve"> </w:t>
      </w:r>
      <w:r w:rsidR="00246483">
        <w:t xml:space="preserve">Logan </w:t>
      </w:r>
      <w:r w:rsidR="00D00065">
        <w:t xml:space="preserve">J </w:t>
      </w:r>
      <w:r w:rsidR="00F0219C">
        <w:t xml:space="preserve">found the question should be </w:t>
      </w:r>
      <w:r w:rsidR="00F0219C" w:rsidRPr="00BE2BB9">
        <w:t>answered at the time the</w:t>
      </w:r>
      <w:r w:rsidR="00F0219C">
        <w:t xml:space="preserve"> </w:t>
      </w:r>
      <w:r w:rsidR="00F0219C" w:rsidRPr="00BE2BB9">
        <w:t>recognition proceeding is filed.</w:t>
      </w:r>
      <w:r w:rsidR="00F0219C">
        <w:t xml:space="preserve">  </w:t>
      </w:r>
      <w:r w:rsidR="0025117A">
        <w:t xml:space="preserve">This </w:t>
      </w:r>
      <w:r w:rsidR="00386347">
        <w:t>accords</w:t>
      </w:r>
      <w:r w:rsidR="0025117A">
        <w:t xml:space="preserve"> with the US approach which was set down by the US Court of Appeals for the 2</w:t>
      </w:r>
      <w:r w:rsidR="0025117A" w:rsidRPr="0025117A">
        <w:rPr>
          <w:vertAlign w:val="superscript"/>
        </w:rPr>
        <w:t>nd</w:t>
      </w:r>
      <w:r w:rsidR="0025117A">
        <w:t xml:space="preserve"> Circuit in </w:t>
      </w:r>
      <w:r w:rsidR="0025117A" w:rsidRPr="0025117A">
        <w:rPr>
          <w:i/>
          <w:iCs/>
        </w:rPr>
        <w:t>In re Fairfield Sentry Ltd</w:t>
      </w:r>
      <w:r w:rsidR="0025117A" w:rsidRPr="0025117A">
        <w:t>., 714 F. 3d 127 Court of Appeals, 2nd Circuit 2013</w:t>
      </w:r>
      <w:r w:rsidR="0025117A">
        <w:t xml:space="preserve"> and is now accepted across all Circuits as the </w:t>
      </w:r>
      <w:r w:rsidR="00E25930">
        <w:t>proper</w:t>
      </w:r>
      <w:r>
        <w:t xml:space="preserve"> </w:t>
      </w:r>
      <w:r w:rsidR="0025117A">
        <w:t>approach.</w:t>
      </w:r>
      <w:r w:rsidR="005844AE">
        <w:t xml:space="preserve">  This approach has led to the US courts </w:t>
      </w:r>
      <w:r w:rsidR="00191E57">
        <w:t xml:space="preserve">sometimes </w:t>
      </w:r>
      <w:r w:rsidR="005844AE">
        <w:t xml:space="preserve">finding that COMI has shifted from </w:t>
      </w:r>
      <w:r w:rsidR="00EE6182">
        <w:t>where it was when</w:t>
      </w:r>
      <w:r w:rsidR="005844AE">
        <w:t xml:space="preserve"> the foreign proceedings were initiated to </w:t>
      </w:r>
      <w:r w:rsidR="00EE6182">
        <w:t>when the</w:t>
      </w:r>
      <w:r w:rsidR="005844AE">
        <w:t xml:space="preserve"> recognition proceeding wa</w:t>
      </w:r>
      <w:r w:rsidR="001601E3">
        <w:t>s filed.</w:t>
      </w:r>
    </w:p>
    <w:p w:rsidR="00FD70F2" w:rsidRDefault="00FD70F2" w:rsidP="00EE6182"/>
    <w:p w:rsidR="002B08A2" w:rsidRDefault="00EE6182" w:rsidP="00EE6182">
      <w:pPr>
        <w:rPr>
          <w:rFonts w:cs="Tahoma"/>
          <w:szCs w:val="20"/>
          <w:lang w:eastAsia="en-AU"/>
        </w:rPr>
      </w:pPr>
      <w:r>
        <w:rPr>
          <w:rFonts w:cs="Tahoma"/>
          <w:szCs w:val="20"/>
          <w:lang w:eastAsia="en-AU"/>
        </w:rPr>
        <w:t>In</w:t>
      </w:r>
      <w:r w:rsidRPr="00EE6182">
        <w:rPr>
          <w:rFonts w:cs="Tahoma"/>
          <w:szCs w:val="20"/>
          <w:lang w:eastAsia="en-AU"/>
        </w:rPr>
        <w:t xml:space="preserve"> </w:t>
      </w:r>
      <w:r w:rsidRPr="00EE6182">
        <w:rPr>
          <w:rFonts w:cs="Tahoma"/>
          <w:i/>
          <w:szCs w:val="20"/>
          <w:lang w:eastAsia="en-AU"/>
        </w:rPr>
        <w:t>Fairfield</w:t>
      </w:r>
      <w:r w:rsidR="00142D0A">
        <w:rPr>
          <w:rFonts w:cs="Tahoma"/>
          <w:i/>
          <w:szCs w:val="20"/>
          <w:lang w:eastAsia="en-AU"/>
        </w:rPr>
        <w:t>,</w:t>
      </w:r>
      <w:r w:rsidRPr="00EE6182">
        <w:rPr>
          <w:rFonts w:cs="Tahoma"/>
          <w:szCs w:val="20"/>
          <w:vertAlign w:val="superscript"/>
          <w:lang w:eastAsia="en-AU"/>
        </w:rPr>
        <w:footnoteReference w:id="26"/>
      </w:r>
      <w:r w:rsidR="00670D04">
        <w:rPr>
          <w:rFonts w:cs="Tahoma"/>
          <w:szCs w:val="20"/>
          <w:lang w:eastAsia="en-AU"/>
        </w:rPr>
        <w:t xml:space="preserve"> Fairfield Sentry Limited (</w:t>
      </w:r>
      <w:r w:rsidR="00670D04" w:rsidRPr="00670D04">
        <w:rPr>
          <w:rFonts w:cs="Tahoma"/>
          <w:b/>
          <w:szCs w:val="20"/>
          <w:lang w:eastAsia="en-AU"/>
        </w:rPr>
        <w:t>Fairfield</w:t>
      </w:r>
      <w:r w:rsidR="00670D04">
        <w:rPr>
          <w:rFonts w:cs="Tahoma"/>
          <w:szCs w:val="20"/>
          <w:lang w:eastAsia="en-AU"/>
        </w:rPr>
        <w:t xml:space="preserve">), </w:t>
      </w:r>
      <w:r w:rsidRPr="00EE6182">
        <w:rPr>
          <w:rFonts w:cs="Tahoma"/>
          <w:szCs w:val="20"/>
          <w:lang w:eastAsia="en-AU"/>
        </w:rPr>
        <w:t xml:space="preserve">a </w:t>
      </w:r>
      <w:r w:rsidR="00142D0A">
        <w:rPr>
          <w:rFonts w:cs="Tahoma"/>
          <w:szCs w:val="20"/>
          <w:lang w:eastAsia="en-AU"/>
        </w:rPr>
        <w:t>British Virgin Islands (</w:t>
      </w:r>
      <w:r w:rsidRPr="00214610">
        <w:rPr>
          <w:rFonts w:cs="Tahoma"/>
          <w:b/>
          <w:szCs w:val="20"/>
          <w:lang w:eastAsia="en-AU"/>
        </w:rPr>
        <w:t>BVI</w:t>
      </w:r>
      <w:r w:rsidR="00142D0A">
        <w:rPr>
          <w:rFonts w:cs="Tahoma"/>
          <w:szCs w:val="20"/>
          <w:lang w:eastAsia="en-AU"/>
        </w:rPr>
        <w:t>)</w:t>
      </w:r>
      <w:r w:rsidRPr="00EE6182">
        <w:rPr>
          <w:rFonts w:cs="Tahoma"/>
          <w:szCs w:val="20"/>
          <w:lang w:eastAsia="en-AU"/>
        </w:rPr>
        <w:t xml:space="preserve"> company</w:t>
      </w:r>
      <w:r w:rsidR="00670D04">
        <w:rPr>
          <w:rFonts w:cs="Tahoma"/>
          <w:szCs w:val="20"/>
          <w:lang w:eastAsia="en-AU"/>
        </w:rPr>
        <w:t xml:space="preserve">, was wound up in the BVI.  At the time of the order for its winding up, its COMI was in New York as it conducted a funds management business from New York.  </w:t>
      </w:r>
      <w:r w:rsidRPr="00EE6182">
        <w:rPr>
          <w:rFonts w:cs="Tahoma"/>
          <w:szCs w:val="20"/>
          <w:lang w:eastAsia="en-AU"/>
        </w:rPr>
        <w:t xml:space="preserve"> </w:t>
      </w:r>
      <w:r w:rsidR="00670D04">
        <w:rPr>
          <w:rFonts w:cs="Tahoma"/>
          <w:szCs w:val="20"/>
          <w:lang w:eastAsia="en-AU"/>
        </w:rPr>
        <w:t>By the time t</w:t>
      </w:r>
      <w:r w:rsidRPr="00EE6182">
        <w:rPr>
          <w:rFonts w:cs="Tahoma"/>
          <w:szCs w:val="20"/>
          <w:lang w:eastAsia="en-AU"/>
        </w:rPr>
        <w:t xml:space="preserve">he liquidators filed </w:t>
      </w:r>
      <w:r w:rsidR="00670D04">
        <w:rPr>
          <w:rFonts w:cs="Tahoma"/>
          <w:szCs w:val="20"/>
          <w:lang w:eastAsia="en-AU"/>
        </w:rPr>
        <w:t xml:space="preserve">recognition </w:t>
      </w:r>
      <w:r w:rsidRPr="00EE6182">
        <w:rPr>
          <w:rFonts w:cs="Tahoma"/>
          <w:szCs w:val="20"/>
          <w:lang w:eastAsia="en-AU"/>
        </w:rPr>
        <w:t>proceedings in New York</w:t>
      </w:r>
      <w:r w:rsidR="00670D04">
        <w:rPr>
          <w:rFonts w:cs="Tahoma"/>
          <w:szCs w:val="20"/>
          <w:lang w:eastAsia="en-AU"/>
        </w:rPr>
        <w:t>, Fairfield</w:t>
      </w:r>
      <w:r w:rsidRPr="00EE6182">
        <w:rPr>
          <w:rFonts w:cs="Tahoma"/>
          <w:szCs w:val="20"/>
          <w:lang w:eastAsia="en-AU"/>
        </w:rPr>
        <w:t xml:space="preserve"> had no place of business, no management, and no tangible assets located in the United States.  Rather, its activities for an extended period of time had been conducted only in connection with winding up </w:t>
      </w:r>
      <w:r w:rsidR="00670D04">
        <w:rPr>
          <w:rFonts w:cs="Tahoma"/>
          <w:szCs w:val="20"/>
          <w:lang w:eastAsia="en-AU"/>
        </w:rPr>
        <w:t>of its</w:t>
      </w:r>
      <w:r w:rsidRPr="00EE6182">
        <w:rPr>
          <w:rFonts w:cs="Tahoma"/>
          <w:szCs w:val="20"/>
          <w:lang w:eastAsia="en-AU"/>
        </w:rPr>
        <w:t xml:space="preserve"> business</w:t>
      </w:r>
      <w:r w:rsidR="00670D04">
        <w:rPr>
          <w:rFonts w:cs="Tahoma"/>
          <w:szCs w:val="20"/>
          <w:lang w:eastAsia="en-AU"/>
        </w:rPr>
        <w:t>, which had been conducted by the liquidators from the BVI</w:t>
      </w:r>
      <w:r w:rsidRPr="00EE6182">
        <w:rPr>
          <w:rFonts w:cs="Tahoma"/>
          <w:szCs w:val="20"/>
          <w:lang w:eastAsia="en-AU"/>
        </w:rPr>
        <w:t xml:space="preserve">.  Accordingly, the Court of Appeals, Second Circuit held that its COMI at the time of filing the </w:t>
      </w:r>
      <w:r w:rsidR="00670D04">
        <w:rPr>
          <w:rFonts w:cs="Tahoma"/>
          <w:szCs w:val="20"/>
          <w:lang w:eastAsia="en-AU"/>
        </w:rPr>
        <w:t xml:space="preserve">recognition </w:t>
      </w:r>
      <w:r w:rsidRPr="00EE6182">
        <w:rPr>
          <w:rFonts w:cs="Tahoma"/>
          <w:szCs w:val="20"/>
          <w:lang w:eastAsia="en-AU"/>
        </w:rPr>
        <w:t>petition was in the BVI.</w:t>
      </w:r>
    </w:p>
    <w:p w:rsidR="002B08A2" w:rsidRDefault="002B08A2" w:rsidP="00EE6182">
      <w:pPr>
        <w:rPr>
          <w:rFonts w:cs="Tahoma"/>
          <w:szCs w:val="20"/>
          <w:lang w:eastAsia="en-AU"/>
        </w:rPr>
      </w:pPr>
    </w:p>
    <w:p w:rsidR="00670D04" w:rsidRPr="00EE6182" w:rsidRDefault="005A311A" w:rsidP="00EE6182">
      <w:pPr>
        <w:rPr>
          <w:rFonts w:cs="Tahoma"/>
          <w:szCs w:val="20"/>
          <w:lang w:eastAsia="en-AU"/>
        </w:rPr>
      </w:pPr>
      <w:r>
        <w:rPr>
          <w:rFonts w:cs="Tahoma"/>
          <w:szCs w:val="20"/>
          <w:lang w:eastAsia="en-AU"/>
        </w:rPr>
        <w:t>A</w:t>
      </w:r>
      <w:r w:rsidR="00670D04">
        <w:rPr>
          <w:rFonts w:cs="Tahoma"/>
          <w:szCs w:val="20"/>
          <w:lang w:eastAsia="en-AU"/>
        </w:rPr>
        <w:t xml:space="preserve"> similar </w:t>
      </w:r>
      <w:r>
        <w:rPr>
          <w:rFonts w:cs="Tahoma"/>
          <w:szCs w:val="20"/>
          <w:lang w:eastAsia="en-AU"/>
        </w:rPr>
        <w:t>result was reached</w:t>
      </w:r>
      <w:r w:rsidR="00670D04">
        <w:rPr>
          <w:rFonts w:cs="Tahoma"/>
          <w:szCs w:val="20"/>
          <w:lang w:eastAsia="en-AU"/>
        </w:rPr>
        <w:t xml:space="preserve"> in </w:t>
      </w:r>
      <w:r w:rsidR="00FD127B" w:rsidRPr="00FD127B">
        <w:rPr>
          <w:rFonts w:cs="Tahoma"/>
          <w:i/>
          <w:szCs w:val="20"/>
          <w:lang w:eastAsia="en-AU"/>
        </w:rPr>
        <w:t>In re Suntech</w:t>
      </w:r>
      <w:r w:rsidR="00FD127B">
        <w:rPr>
          <w:rFonts w:cs="Tahoma"/>
          <w:szCs w:val="20"/>
          <w:lang w:eastAsia="en-AU"/>
        </w:rPr>
        <w:t xml:space="preserve"> </w:t>
      </w:r>
      <w:r w:rsidR="00FD127B" w:rsidRPr="00FD127B">
        <w:rPr>
          <w:i/>
        </w:rPr>
        <w:t>Power Holdings Co., Ltd</w:t>
      </w:r>
      <w:r w:rsidR="00FD127B" w:rsidRPr="00FD127B">
        <w:t xml:space="preserve"> </w:t>
      </w:r>
      <w:r w:rsidR="00FD127B">
        <w:rPr>
          <w:rStyle w:val="FootnoteReference"/>
          <w:rFonts w:cs="Tahoma"/>
          <w:szCs w:val="20"/>
          <w:lang w:eastAsia="en-AU"/>
        </w:rPr>
        <w:footnoteReference w:id="27"/>
      </w:r>
      <w:r w:rsidR="00016170">
        <w:t xml:space="preserve"> where Suntech’s COMI shifted from China </w:t>
      </w:r>
      <w:r w:rsidR="000E4063">
        <w:t xml:space="preserve">at the time it was ordered to be wound up in the Cayman Islands </w:t>
      </w:r>
      <w:r w:rsidR="00016170">
        <w:t xml:space="preserve">to the Cayman Islands </w:t>
      </w:r>
      <w:r w:rsidR="000E4063">
        <w:t xml:space="preserve">at the time </w:t>
      </w:r>
      <w:r w:rsidR="000E4063">
        <w:rPr>
          <w:rFonts w:cs="Tahoma"/>
          <w:szCs w:val="20"/>
          <w:lang w:eastAsia="en-AU"/>
        </w:rPr>
        <w:t xml:space="preserve">recognition </w:t>
      </w:r>
      <w:r w:rsidR="000E4063" w:rsidRPr="00EE6182">
        <w:rPr>
          <w:rFonts w:cs="Tahoma"/>
          <w:szCs w:val="20"/>
          <w:lang w:eastAsia="en-AU"/>
        </w:rPr>
        <w:t xml:space="preserve">proceedings </w:t>
      </w:r>
      <w:r w:rsidR="000E4063">
        <w:rPr>
          <w:rFonts w:cs="Tahoma"/>
          <w:szCs w:val="20"/>
          <w:lang w:eastAsia="en-AU"/>
        </w:rPr>
        <w:t>were filed</w:t>
      </w:r>
      <w:r w:rsidR="00804D4F">
        <w:rPr>
          <w:rFonts w:cs="Tahoma"/>
          <w:szCs w:val="20"/>
          <w:lang w:eastAsia="en-AU"/>
        </w:rPr>
        <w:t xml:space="preserve"> in the US</w:t>
      </w:r>
      <w:r w:rsidR="000E4063">
        <w:rPr>
          <w:rFonts w:cs="Tahoma"/>
          <w:szCs w:val="20"/>
          <w:lang w:eastAsia="en-AU"/>
        </w:rPr>
        <w:t xml:space="preserve"> </w:t>
      </w:r>
      <w:r w:rsidR="00016170">
        <w:t>due to the liquidation being conducted from the Cayman Islands</w:t>
      </w:r>
      <w:r w:rsidR="00FD127B">
        <w:t>.</w:t>
      </w:r>
      <w:r w:rsidR="00804D4F">
        <w:t xml:space="preserve">  The ability for the courts to find that COMI is where the foreign insolvency is being conducted avoids the issue </w:t>
      </w:r>
      <w:r w:rsidR="00DC354A">
        <w:t xml:space="preserve">identified </w:t>
      </w:r>
      <w:r w:rsidR="00B15B94">
        <w:t xml:space="preserve">above </w:t>
      </w:r>
      <w:r w:rsidR="00DC354A">
        <w:t xml:space="preserve">by Perram J </w:t>
      </w:r>
      <w:r w:rsidR="00804D4F">
        <w:t>of the debtor no longer having an establishment</w:t>
      </w:r>
      <w:r w:rsidR="0089281C">
        <w:t xml:space="preserve"> when recognition proceedings are filed</w:t>
      </w:r>
      <w:r w:rsidR="001601E3">
        <w:t>.</w:t>
      </w:r>
    </w:p>
    <w:p w:rsidR="0025117A" w:rsidRDefault="0025117A" w:rsidP="00F0219C"/>
    <w:p w:rsidR="00404FF0" w:rsidRDefault="00085C77" w:rsidP="00F0219C">
      <w:r>
        <w:t>A third</w:t>
      </w:r>
      <w:r w:rsidR="00404FF0">
        <w:t xml:space="preserve"> approach was taken by</w:t>
      </w:r>
      <w:r w:rsidR="00F0219C">
        <w:t xml:space="preserve"> </w:t>
      </w:r>
      <w:r w:rsidR="00404FF0">
        <w:t xml:space="preserve">Emmett </w:t>
      </w:r>
      <w:r w:rsidR="00370C4D">
        <w:t xml:space="preserve">J </w:t>
      </w:r>
      <w:r w:rsidR="00404FF0">
        <w:t xml:space="preserve">in </w:t>
      </w:r>
      <w:r w:rsidR="00F0219C" w:rsidRPr="00BE2BB9">
        <w:rPr>
          <w:i/>
          <w:iCs/>
        </w:rPr>
        <w:t>Moore as Debtor-in-Possession of Australian Equity Investors v Australian Equity Investors</w:t>
      </w:r>
      <w:r w:rsidR="00F0219C">
        <w:rPr>
          <w:rStyle w:val="FootnoteReference"/>
          <w:i/>
          <w:iCs/>
        </w:rPr>
        <w:footnoteReference w:id="28"/>
      </w:r>
      <w:r w:rsidR="00F0219C">
        <w:rPr>
          <w:iCs/>
        </w:rPr>
        <w:t xml:space="preserve"> </w:t>
      </w:r>
      <w:r w:rsidR="00404FF0">
        <w:rPr>
          <w:iCs/>
        </w:rPr>
        <w:t xml:space="preserve">who </w:t>
      </w:r>
      <w:r w:rsidR="00F0219C">
        <w:t xml:space="preserve">thought </w:t>
      </w:r>
      <w:r w:rsidR="00BE2BB9" w:rsidRPr="00BE2BB9">
        <w:t xml:space="preserve">the question should </w:t>
      </w:r>
      <w:r w:rsidR="00F0219C">
        <w:t xml:space="preserve">be answered as at the </w:t>
      </w:r>
      <w:r w:rsidR="007F5437">
        <w:t>time</w:t>
      </w:r>
      <w:r w:rsidR="00F0219C">
        <w:t xml:space="preserve"> the Australian c</w:t>
      </w:r>
      <w:r w:rsidR="00BE2BB9" w:rsidRPr="00BE2BB9">
        <w:t>ourt is</w:t>
      </w:r>
      <w:r w:rsidR="00BE2BB9">
        <w:t xml:space="preserve"> </w:t>
      </w:r>
      <w:r w:rsidR="00BE2BB9" w:rsidRPr="00BE2BB9">
        <w:t>called on to make the decision.</w:t>
      </w:r>
    </w:p>
    <w:p w:rsidR="00404FF0" w:rsidRDefault="00404FF0" w:rsidP="00F0219C"/>
    <w:p w:rsidR="00B812F8" w:rsidRDefault="00A52829" w:rsidP="00CB38E5">
      <w:r>
        <w:t xml:space="preserve">This issue needs to resolved at </w:t>
      </w:r>
      <w:r w:rsidR="00142D0A">
        <w:t xml:space="preserve">appellate </w:t>
      </w:r>
      <w:r>
        <w:t xml:space="preserve">level </w:t>
      </w:r>
      <w:r w:rsidR="00AE1DFE">
        <w:t xml:space="preserve">or by legislation </w:t>
      </w:r>
      <w:r>
        <w:t>so that we have some certainty.</w:t>
      </w:r>
    </w:p>
    <w:p w:rsidR="00F22368" w:rsidRPr="00F22368" w:rsidRDefault="00F22368" w:rsidP="00572852">
      <w:pPr>
        <w:pStyle w:val="LetterHeading"/>
      </w:pPr>
      <w:r w:rsidRPr="00F22368">
        <w:t>The nature of the automatic stay</w:t>
      </w:r>
    </w:p>
    <w:p w:rsidR="00F22368" w:rsidRDefault="00F22368" w:rsidP="00CB38E5"/>
    <w:p w:rsidR="00052488" w:rsidRDefault="00E31E6D" w:rsidP="00052488">
      <w:r>
        <w:t>Article 20 provides that recogniti</w:t>
      </w:r>
      <w:r w:rsidR="006737EA">
        <w:t>on of a foreign main proceeding</w:t>
      </w:r>
      <w:r>
        <w:t xml:space="preserve"> automatically invokes an automatic stay on the commencement and continuance of proceedings against the foreign debtor.  </w:t>
      </w:r>
      <w:r w:rsidR="00CB38E5" w:rsidRPr="00CB38E5">
        <w:t xml:space="preserve">The </w:t>
      </w:r>
      <w:r w:rsidR="00052488">
        <w:t xml:space="preserve">scope of this stay is governed by </w:t>
      </w:r>
      <w:r w:rsidR="00CB38E5" w:rsidRPr="00CB38E5">
        <w:t xml:space="preserve">section 16(b) of the </w:t>
      </w:r>
      <w:r w:rsidR="00CB38E5" w:rsidRPr="00CB38E5">
        <w:rPr>
          <w:i/>
          <w:iCs/>
        </w:rPr>
        <w:t>Cross-Border Insolvency Act</w:t>
      </w:r>
      <w:r w:rsidR="00CB38E5" w:rsidRPr="00CB38E5">
        <w:t xml:space="preserve"> 2008 (Cth)</w:t>
      </w:r>
      <w:r w:rsidR="00052488">
        <w:t xml:space="preserve"> which provides that the </w:t>
      </w:r>
      <w:r w:rsidR="00052488" w:rsidRPr="00052488">
        <w:t xml:space="preserve">scope </w:t>
      </w:r>
      <w:r w:rsidR="00052488">
        <w:t>is</w:t>
      </w:r>
      <w:r w:rsidR="00052488" w:rsidRPr="00052488">
        <w:t xml:space="preserve"> the same as would apply if the stay arose under: </w:t>
      </w:r>
    </w:p>
    <w:p w:rsidR="007C7280" w:rsidRPr="00052488" w:rsidRDefault="007C7280" w:rsidP="00052488"/>
    <w:p w:rsidR="001C609A" w:rsidRDefault="00052488" w:rsidP="009572A5">
      <w:pPr>
        <w:pStyle w:val="ListParagraph"/>
        <w:numPr>
          <w:ilvl w:val="0"/>
          <w:numId w:val="14"/>
        </w:numPr>
      </w:pPr>
      <w:r w:rsidRPr="00052488">
        <w:t xml:space="preserve">the </w:t>
      </w:r>
      <w:r w:rsidR="001C609A" w:rsidRPr="001C609A">
        <w:rPr>
          <w:iCs/>
        </w:rPr>
        <w:t>Bankruptcy Act</w:t>
      </w:r>
      <w:r w:rsidR="001C609A">
        <w:t>; or</w:t>
      </w:r>
    </w:p>
    <w:p w:rsidR="00B4044C" w:rsidRDefault="00B4044C" w:rsidP="00B4044C">
      <w:pPr>
        <w:pStyle w:val="ListParagraph"/>
        <w:ind w:left="709"/>
      </w:pPr>
    </w:p>
    <w:p w:rsidR="00052488" w:rsidRDefault="00052488" w:rsidP="009572A5">
      <w:pPr>
        <w:pStyle w:val="ListParagraph"/>
        <w:numPr>
          <w:ilvl w:val="0"/>
          <w:numId w:val="14"/>
        </w:numPr>
      </w:pPr>
      <w:r w:rsidRPr="00052488">
        <w:t xml:space="preserve">Chapter 5 (other than Parts 5.2 and 5.4A) of the </w:t>
      </w:r>
      <w:r w:rsidR="001C609A" w:rsidRPr="0034483B">
        <w:rPr>
          <w:iCs/>
        </w:rPr>
        <w:t>Corporations Act</w:t>
      </w:r>
      <w:r w:rsidR="00B4044C">
        <w:t>,</w:t>
      </w:r>
    </w:p>
    <w:p w:rsidR="00B4044C" w:rsidRPr="0034483B" w:rsidRDefault="00B4044C" w:rsidP="00B4044C"/>
    <w:p w:rsidR="00052488" w:rsidRDefault="00052488" w:rsidP="00CB38E5">
      <w:r w:rsidRPr="00052488">
        <w:t>as the case requires.</w:t>
      </w:r>
    </w:p>
    <w:p w:rsidR="006D0FAD" w:rsidRDefault="006D0FAD" w:rsidP="00CB38E5"/>
    <w:p w:rsidR="00F566A3" w:rsidRPr="00F566A3" w:rsidRDefault="0034483B" w:rsidP="00F566A3">
      <w:r>
        <w:t xml:space="preserve">Chapter 5 of the Corporations Act </w:t>
      </w:r>
      <w:r w:rsidR="00775C2C">
        <w:t xml:space="preserve">includes the provisions relating to </w:t>
      </w:r>
      <w:r w:rsidR="00067A5C">
        <w:t>schemes of arrangement</w:t>
      </w:r>
      <w:r w:rsidR="00775C2C">
        <w:t>, voluntary administration and liquidation.</w:t>
      </w:r>
      <w:r w:rsidR="00067A5C">
        <w:t xml:space="preserve">  The scope of the applicable stay, or lack thereof, differs for each</w:t>
      </w:r>
      <w:r w:rsidR="00142D0A">
        <w:t>.</w:t>
      </w:r>
      <w:r w:rsidR="003905D1">
        <w:rPr>
          <w:rStyle w:val="FootnoteReference"/>
        </w:rPr>
        <w:footnoteReference w:id="29"/>
      </w:r>
      <w:r w:rsidR="00067A5C">
        <w:t xml:space="preserve">  </w:t>
      </w:r>
      <w:r w:rsidR="00C21A05">
        <w:t>For example, t</w:t>
      </w:r>
      <w:r w:rsidR="00067A5C">
        <w:t>here is no automatic stay for schemes of arrangement.  In voluntary administration the stay extends to secured creditors in certain circumstances</w:t>
      </w:r>
      <w:r w:rsidR="00EE00C3">
        <w:t>,</w:t>
      </w:r>
      <w:r w:rsidR="00C21A05">
        <w:rPr>
          <w:rStyle w:val="FootnoteReference"/>
        </w:rPr>
        <w:footnoteReference w:id="30"/>
      </w:r>
      <w:r w:rsidR="00067A5C">
        <w:t xml:space="preserve"> whilst there is no stay on the actions of secured creditors in liquidation</w:t>
      </w:r>
      <w:r w:rsidR="00EE00C3">
        <w:t>.</w:t>
      </w:r>
      <w:r w:rsidR="00C21A05">
        <w:rPr>
          <w:rStyle w:val="FootnoteReference"/>
        </w:rPr>
        <w:footnoteReference w:id="31"/>
      </w:r>
      <w:r w:rsidR="00067A5C">
        <w:t xml:space="preserve">  </w:t>
      </w:r>
      <w:r w:rsidR="00F566A3">
        <w:t xml:space="preserve">As </w:t>
      </w:r>
      <w:r w:rsidR="00F566A3" w:rsidRPr="00F566A3">
        <w:t xml:space="preserve">Rares J </w:t>
      </w:r>
      <w:r w:rsidR="00F566A3">
        <w:t xml:space="preserve">observed </w:t>
      </w:r>
      <w:r w:rsidR="00F566A3" w:rsidRPr="00F566A3">
        <w:t xml:space="preserve">in </w:t>
      </w:r>
      <w:r w:rsidR="00F566A3" w:rsidRPr="00F566A3">
        <w:rPr>
          <w:i/>
        </w:rPr>
        <w:t>Hur v Samsun Logix Corporation</w:t>
      </w:r>
      <w:r w:rsidR="00F566A3" w:rsidRPr="00F566A3">
        <w:t xml:space="preserve"> [2015] FCA 1154; (2015) 238</w:t>
      </w:r>
      <w:r w:rsidR="00741306">
        <w:t xml:space="preserve"> </w:t>
      </w:r>
      <w:r w:rsidR="00F566A3" w:rsidRPr="00F566A3">
        <w:t>FCR 483 (Hur) at [21]</w:t>
      </w:r>
      <w:r w:rsidR="00F566A3">
        <w:t xml:space="preserve">, </w:t>
      </w:r>
      <w:r w:rsidR="00F566A3" w:rsidRPr="00F566A3">
        <w:t>the operation of these provisions is “beguilingly ambiguous, since</w:t>
      </w:r>
      <w:r w:rsidR="00F566A3">
        <w:t xml:space="preserve"> the </w:t>
      </w:r>
      <w:r w:rsidR="00F566A3" w:rsidRPr="00F566A3">
        <w:t>Corporations Act has a variety of different stay provisions that differentially affect the</w:t>
      </w:r>
      <w:r w:rsidR="00F566A3">
        <w:t xml:space="preserve"> </w:t>
      </w:r>
      <w:r w:rsidR="00F566A3" w:rsidRPr="00F566A3">
        <w:t>position of secured creditors, sometimes at different points in the same overall process”.</w:t>
      </w:r>
    </w:p>
    <w:p w:rsidR="008E6F0B" w:rsidRDefault="008E6F0B" w:rsidP="00CB38E5"/>
    <w:p w:rsidR="00BE1DD6" w:rsidRDefault="008E6F0B" w:rsidP="00CB38E5">
      <w:r>
        <w:t xml:space="preserve">The explanatory memorandum to the </w:t>
      </w:r>
      <w:r w:rsidRPr="00441CCA">
        <w:rPr>
          <w:i/>
        </w:rPr>
        <w:t xml:space="preserve">Cross-Border Insolvency Bill </w:t>
      </w:r>
      <w:r>
        <w:t>2008 (Cth)</w:t>
      </w:r>
      <w:r w:rsidR="00F566A3">
        <w:rPr>
          <w:rStyle w:val="FootnoteReference"/>
        </w:rPr>
        <w:footnoteReference w:id="32"/>
      </w:r>
      <w:r>
        <w:t xml:space="preserve"> </w:t>
      </w:r>
      <w:r w:rsidR="00F860BC">
        <w:t>explains that i</w:t>
      </w:r>
      <w:r>
        <w:t>t is left to the court to decide which stay should apply in any particular case, having regard to all the circumstances of the case</w:t>
      </w:r>
      <w:r w:rsidR="00117AB0">
        <w:t xml:space="preserve">.  </w:t>
      </w:r>
      <w:r w:rsidR="00F860BC">
        <w:t>Thus, for example, i</w:t>
      </w:r>
      <w:r w:rsidR="00B5109A">
        <w:t xml:space="preserve">f the </w:t>
      </w:r>
      <w:r w:rsidR="00F860BC">
        <w:t>foreign proceed</w:t>
      </w:r>
      <w:r w:rsidR="00B5109A">
        <w:t xml:space="preserve">ings </w:t>
      </w:r>
      <w:r w:rsidR="00F860BC">
        <w:t>are</w:t>
      </w:r>
      <w:r w:rsidR="00B5109A">
        <w:t xml:space="preserve"> more akin to </w:t>
      </w:r>
      <w:r w:rsidR="00F860BC">
        <w:t xml:space="preserve">voluntary administration </w:t>
      </w:r>
      <w:r w:rsidR="00B5109A">
        <w:t>proceedings under Part 5.3A of the Corporations Act than any other Part, the stays and suspensions in accordance with th</w:t>
      </w:r>
      <w:r w:rsidR="00BE1DD6">
        <w:t>e provisions of Part 5.3A apply</w:t>
      </w:r>
      <w:r w:rsidR="00117AB0">
        <w:t>.</w:t>
      </w:r>
      <w:r w:rsidR="005C7144">
        <w:rPr>
          <w:rStyle w:val="FootnoteReference"/>
        </w:rPr>
        <w:footnoteReference w:id="33"/>
      </w:r>
      <w:r w:rsidR="000866DD">
        <w:t xml:space="preserve"> </w:t>
      </w:r>
    </w:p>
    <w:p w:rsidR="00BE1DD6" w:rsidRDefault="00BE1DD6" w:rsidP="00CB38E5"/>
    <w:p w:rsidR="00BE1DD6" w:rsidRDefault="00BE1DD6" w:rsidP="00CB38E5">
      <w:r>
        <w:t xml:space="preserve">Ultimately, the </w:t>
      </w:r>
      <w:r w:rsidR="00441CCA">
        <w:t>court</w:t>
      </w:r>
      <w:r>
        <w:t xml:space="preserve"> needs to make </w:t>
      </w:r>
      <w:r w:rsidR="006737EA">
        <w:t xml:space="preserve">this determination </w:t>
      </w:r>
      <w:r>
        <w:t xml:space="preserve">even though foreign insolvency processes can often have characteristics which straddle different Australian insolvency processes.  </w:t>
      </w:r>
      <w:r w:rsidR="00AA0549">
        <w:t>To assist the court, the</w:t>
      </w:r>
      <w:r>
        <w:t xml:space="preserve"> foreign representative </w:t>
      </w:r>
      <w:r w:rsidR="00AA0549">
        <w:t>will often</w:t>
      </w:r>
      <w:r>
        <w:t xml:space="preserve"> lead evidence a</w:t>
      </w:r>
      <w:r w:rsidR="000866DD">
        <w:t xml:space="preserve">bout the nature of the foreign insolvency procedure, generally from an </w:t>
      </w:r>
      <w:r>
        <w:t xml:space="preserve">insolvency </w:t>
      </w:r>
      <w:r w:rsidR="000866DD">
        <w:t xml:space="preserve">expert from the foreign jurisdiction.  </w:t>
      </w:r>
      <w:r w:rsidR="00441CCA">
        <w:t xml:space="preserve">Once the determination has been made, the court should make a declaration </w:t>
      </w:r>
      <w:r w:rsidR="00DD5CE0">
        <w:t>as to which Australian insolvency procedure’s stay provisions apply.</w:t>
      </w:r>
      <w:r w:rsidR="00DD5CE0">
        <w:rPr>
          <w:rStyle w:val="FootnoteReference"/>
        </w:rPr>
        <w:footnoteReference w:id="34"/>
      </w:r>
    </w:p>
    <w:p w:rsidR="00DD5CE0" w:rsidRDefault="00DD5CE0" w:rsidP="00CB38E5"/>
    <w:p w:rsidR="00BE1DD6" w:rsidRDefault="00387044" w:rsidP="00CB38E5">
      <w:r>
        <w:t xml:space="preserve">Other jurisdictions have enacted the Model Law with greater certainty as to the nature of the automatic stay. </w:t>
      </w:r>
      <w:r w:rsidR="00EE1F4F">
        <w:t xml:space="preserve"> For example,</w:t>
      </w:r>
      <w:r>
        <w:t xml:space="preserve"> Article 20 of the Model Law as enacted in Singapore</w:t>
      </w:r>
      <w:r w:rsidR="00D33100">
        <w:rPr>
          <w:rStyle w:val="FootnoteReference"/>
        </w:rPr>
        <w:footnoteReference w:id="35"/>
      </w:r>
      <w:r w:rsidR="00D33100">
        <w:t xml:space="preserve"> </w:t>
      </w:r>
      <w:r w:rsidR="00197AC1">
        <w:t>and Great Britain</w:t>
      </w:r>
      <w:r w:rsidR="00D33100">
        <w:rPr>
          <w:rStyle w:val="FootnoteReference"/>
        </w:rPr>
        <w:footnoteReference w:id="36"/>
      </w:r>
      <w:r w:rsidR="00197AC1">
        <w:t xml:space="preserve"> </w:t>
      </w:r>
      <w:r>
        <w:t>states the stay which arises is the</w:t>
      </w:r>
      <w:r w:rsidRPr="00387044">
        <w:t xml:space="preserve"> same in scope and effect as if the debtor had been made the subject of a winding up </w:t>
      </w:r>
      <w:r>
        <w:t>order</w:t>
      </w:r>
      <w:r w:rsidR="00197AC1">
        <w:t>, notwithstanding that both jurisdictions have other insolvency procedures</w:t>
      </w:r>
      <w:r w:rsidR="00D33100">
        <w:t xml:space="preserve"> which may be more akin to the foreign proceeding</w:t>
      </w:r>
      <w:r>
        <w:t xml:space="preserve">.  </w:t>
      </w:r>
      <w:r w:rsidR="00C77DF3">
        <w:t xml:space="preserve">In Canada, </w:t>
      </w:r>
      <w:r w:rsidR="00EE1F4F">
        <w:t>the relevant stay is also expressly set out</w:t>
      </w:r>
      <w:r w:rsidR="00EE00C3">
        <w:t>.</w:t>
      </w:r>
      <w:r w:rsidR="00EE1F4F">
        <w:rPr>
          <w:rStyle w:val="FootnoteReference"/>
        </w:rPr>
        <w:footnoteReference w:id="37"/>
      </w:r>
      <w:r w:rsidR="00197AC1">
        <w:t xml:space="preserve">  It would be preferable in my view if Australia had adopted a similar position.</w:t>
      </w:r>
      <w:r w:rsidR="00B24337">
        <w:t xml:space="preserve">  This would also avoid </w:t>
      </w:r>
      <w:r w:rsidR="0037521A">
        <w:t xml:space="preserve">some of </w:t>
      </w:r>
      <w:r w:rsidR="00B24337">
        <w:t>the issues which arise in relation to lack of compliance with Article 18 as discussed below.</w:t>
      </w:r>
    </w:p>
    <w:p w:rsidR="00F22368" w:rsidRPr="00F22368" w:rsidRDefault="001346F7" w:rsidP="00572852">
      <w:pPr>
        <w:pStyle w:val="LetterHeading"/>
      </w:pPr>
      <w:r>
        <w:t xml:space="preserve">Lack of compliance with </w:t>
      </w:r>
      <w:r w:rsidR="00F22368" w:rsidRPr="00F22368">
        <w:t>Article 18</w:t>
      </w:r>
      <w:r>
        <w:t xml:space="preserve"> of the Model Law</w:t>
      </w:r>
    </w:p>
    <w:p w:rsidR="00CB38E5" w:rsidRPr="00CB38E5" w:rsidRDefault="00CB38E5" w:rsidP="00CB38E5">
      <w:pPr>
        <w:rPr>
          <w:lang w:val="en-US"/>
        </w:rPr>
      </w:pPr>
    </w:p>
    <w:p w:rsidR="00FB0AD1" w:rsidRDefault="001346F7" w:rsidP="00FB0AD1">
      <w:r>
        <w:t>Article</w:t>
      </w:r>
      <w:r w:rsidR="00CB38E5" w:rsidRPr="00CB38E5">
        <w:t xml:space="preserve"> 18 </w:t>
      </w:r>
      <w:r>
        <w:t xml:space="preserve">of the Model Law requires </w:t>
      </w:r>
      <w:r w:rsidR="00FB0AD1">
        <w:t>the foreign representative to inform the court promptly of any substantial chan</w:t>
      </w:r>
      <w:r w:rsidR="00C53D6D">
        <w:t>ge in the status of the recognis</w:t>
      </w:r>
      <w:r w:rsidR="00FB0AD1">
        <w:t xml:space="preserve">ed foreign proceeding or the status of the foreign representative’s appointment.  </w:t>
      </w:r>
      <w:r w:rsidR="00BE46BF">
        <w:t>As discussed above, t</w:t>
      </w:r>
      <w:r w:rsidR="00BA54A7">
        <w:t xml:space="preserve">he status of the foreign proceeding is relevant to the </w:t>
      </w:r>
      <w:r w:rsidR="00BA54A7">
        <w:lastRenderedPageBreak/>
        <w:t xml:space="preserve">nature of the stay that is appropriate at any point in time.  If, for example, the foreign proceeding transitions from a rehabilitation or restructuring procedure most akin to voluntary administration to a liquidation type procedure, the terms of the automatic stay should move </w:t>
      </w:r>
      <w:r w:rsidR="002E0940">
        <w:t xml:space="preserve">from </w:t>
      </w:r>
      <w:r w:rsidR="00BA54A7">
        <w:t>a voluntary administration type stay to a liquidation type stay.</w:t>
      </w:r>
      <w:r w:rsidR="00C53D6D">
        <w:t xml:space="preserve">  If the foreign proceeding is dismissed or withdrawn, the stay should be lifted.</w:t>
      </w:r>
    </w:p>
    <w:p w:rsidR="00FB0AD1" w:rsidRDefault="00FB0AD1" w:rsidP="00FB0AD1"/>
    <w:p w:rsidR="00D022C8" w:rsidRDefault="002E0940" w:rsidP="00C53D6D">
      <w:r>
        <w:t xml:space="preserve">Unfortunately, </w:t>
      </w:r>
      <w:r w:rsidR="00C53D6D">
        <w:t xml:space="preserve">it is not uncommon for foreign representatives </w:t>
      </w:r>
      <w:r w:rsidR="00DF77F0">
        <w:t xml:space="preserve">to fail </w:t>
      </w:r>
      <w:r w:rsidR="00C53D6D">
        <w:t>to update Australian courts about changes in the status of the foreign proceeding</w:t>
      </w:r>
      <w:r w:rsidR="00A954F4">
        <w:t>.</w:t>
      </w:r>
      <w:r w:rsidR="00551D2D">
        <w:rPr>
          <w:rStyle w:val="FootnoteReference"/>
        </w:rPr>
        <w:footnoteReference w:id="38"/>
      </w:r>
      <w:r w:rsidR="00C53D6D">
        <w:t xml:space="preserve">  This can be</w:t>
      </w:r>
      <w:r w:rsidR="00DF77F0">
        <w:t xml:space="preserve"> </w:t>
      </w:r>
      <w:r w:rsidR="00C53D6D">
        <w:t xml:space="preserve">due to </w:t>
      </w:r>
      <w:r w:rsidR="00DF77F0">
        <w:t xml:space="preserve">oversight or </w:t>
      </w:r>
      <w:r w:rsidR="00C53D6D">
        <w:t>forgetfulness (for example, forgetting to advise the court that the foreign proceeding has transitioned to a liquidation style proceeding from an earlier rehabilitation style proceeding</w:t>
      </w:r>
      <w:r w:rsidR="00B57A61">
        <w:t>)</w:t>
      </w:r>
      <w:r w:rsidR="00C53D6D">
        <w:t xml:space="preserve">, but it also can be because once </w:t>
      </w:r>
      <w:r w:rsidR="00C53D6D" w:rsidRPr="00C53D6D">
        <w:t xml:space="preserve">the foreign main proceedings is dismissed or withdrawn, the foreign representative no longer has authority </w:t>
      </w:r>
      <w:r w:rsidR="00D022C8">
        <w:t xml:space="preserve">to act on behalf of the debtor and thus has no </w:t>
      </w:r>
      <w:r w:rsidR="00C53D6D" w:rsidRPr="00C53D6D">
        <w:t xml:space="preserve">authority </w:t>
      </w:r>
      <w:r w:rsidR="00DF77F0">
        <w:t xml:space="preserve">or funds available to </w:t>
      </w:r>
      <w:r w:rsidR="00D022C8">
        <w:t>inform recognis</w:t>
      </w:r>
      <w:r w:rsidR="00C53D6D" w:rsidRPr="00C53D6D">
        <w:t>ing cour</w:t>
      </w:r>
      <w:r w:rsidR="00B57A61">
        <w:t>ts</w:t>
      </w:r>
      <w:r w:rsidR="00D022C8">
        <w:t>.</w:t>
      </w:r>
    </w:p>
    <w:p w:rsidR="00D022C8" w:rsidRDefault="00D022C8" w:rsidP="00C53D6D"/>
    <w:p w:rsidR="000F4310" w:rsidRDefault="00C53D6D" w:rsidP="00C53D6D">
      <w:r w:rsidRPr="00C53D6D">
        <w:t xml:space="preserve">Rares J </w:t>
      </w:r>
      <w:r w:rsidR="00551D2D">
        <w:t>has described this as</w:t>
      </w:r>
      <w:r w:rsidRPr="00C53D6D">
        <w:t xml:space="preserve"> a “</w:t>
      </w:r>
      <w:r w:rsidRPr="00551D2D">
        <w:rPr>
          <w:i/>
        </w:rPr>
        <w:t xml:space="preserve">serious lacuna in the way in which Art 18(a) of the Model Law </w:t>
      </w:r>
      <w:r w:rsidR="00DF77F0">
        <w:rPr>
          <w:i/>
        </w:rPr>
        <w:t xml:space="preserve">… operate[s] </w:t>
      </w:r>
      <w:r w:rsidRPr="00551D2D">
        <w:rPr>
          <w:i/>
        </w:rPr>
        <w:t>that does not appear to have been anticipated by the drafters of the Model Law</w:t>
      </w:r>
      <w:r w:rsidRPr="00C53D6D">
        <w:t>”.</w:t>
      </w:r>
      <w:bookmarkStart w:id="1" w:name="_Ref22482790"/>
      <w:r w:rsidR="00551D2D">
        <w:rPr>
          <w:rStyle w:val="FootnoteReference"/>
        </w:rPr>
        <w:footnoteReference w:id="39"/>
      </w:r>
      <w:bookmarkEnd w:id="1"/>
      <w:r w:rsidR="00F90ADC">
        <w:t xml:space="preserve">  His Honour </w:t>
      </w:r>
      <w:r w:rsidR="00DF77F0">
        <w:t xml:space="preserve">has </w:t>
      </w:r>
      <w:r w:rsidR="00F90ADC">
        <w:t>suggested that, unless this issue is addr</w:t>
      </w:r>
      <w:r w:rsidR="00821538">
        <w:t>essed in amendments to the way A</w:t>
      </w:r>
      <w:r w:rsidR="00F90ADC">
        <w:t xml:space="preserve">rticle 18 of the Model Law is incorporated into law in Australia, the courts may consider steps such as requiring foreign representatives to pay money into court by way of security upon recognition applications, </w:t>
      </w:r>
      <w:r w:rsidR="000F4310">
        <w:t xml:space="preserve">which could </w:t>
      </w:r>
      <w:r w:rsidR="00F90ADC">
        <w:t xml:space="preserve">be retrieved </w:t>
      </w:r>
      <w:r w:rsidR="000F4310">
        <w:t>up</w:t>
      </w:r>
      <w:r w:rsidR="00821538">
        <w:t>on making an application under A</w:t>
      </w:r>
      <w:r w:rsidR="000F4310">
        <w:t xml:space="preserve">rticle 18 when the foreign proceeding is finalised (and which could </w:t>
      </w:r>
      <w:r w:rsidR="00CE2A7A">
        <w:t xml:space="preserve">also </w:t>
      </w:r>
      <w:r w:rsidR="000F4310">
        <w:t>be used to cover the costs of application).</w:t>
      </w:r>
      <w:r w:rsidR="000F4310">
        <w:rPr>
          <w:rStyle w:val="FootnoteReference"/>
        </w:rPr>
        <w:footnoteReference w:id="40"/>
      </w:r>
      <w:r w:rsidR="000F4310">
        <w:t xml:space="preserve">  Alternatively, </w:t>
      </w:r>
      <w:r w:rsidR="00CE0642">
        <w:t xml:space="preserve">his Honour suggests </w:t>
      </w:r>
      <w:r w:rsidR="000F4310">
        <w:t xml:space="preserve">the court could fix the period of the stays </w:t>
      </w:r>
      <w:r w:rsidR="00CE0642">
        <w:t xml:space="preserve">(for example, </w:t>
      </w:r>
      <w:r w:rsidR="000F4310">
        <w:t>for a period of months</w:t>
      </w:r>
      <w:r w:rsidR="00CE0642">
        <w:t>)</w:t>
      </w:r>
      <w:r w:rsidR="000F4310">
        <w:t xml:space="preserve">, which would require the foreign representatives to update the court when seeking </w:t>
      </w:r>
      <w:r w:rsidR="00CE0642">
        <w:t>periodic</w:t>
      </w:r>
      <w:r w:rsidR="000F4310">
        <w:t xml:space="preserve"> extension</w:t>
      </w:r>
      <w:r w:rsidR="00CE0642">
        <w:t>s</w:t>
      </w:r>
      <w:r w:rsidR="000F4310">
        <w:t xml:space="preserve"> of the stay.</w:t>
      </w:r>
      <w:r w:rsidR="000F4310">
        <w:rPr>
          <w:rStyle w:val="FootnoteReference"/>
        </w:rPr>
        <w:footnoteReference w:id="41"/>
      </w:r>
    </w:p>
    <w:p w:rsidR="000F4310" w:rsidRDefault="000F4310" w:rsidP="00F90ADC"/>
    <w:p w:rsidR="00DB0AA1" w:rsidRPr="007A590B" w:rsidRDefault="00142D3B" w:rsidP="007A590B">
      <w:r>
        <w:t>Whilst Rares J’s sugges</w:t>
      </w:r>
      <w:r w:rsidR="0071715D">
        <w:t xml:space="preserve">tions have merit, </w:t>
      </w:r>
      <w:r w:rsidR="00EB1D75">
        <w:t xml:space="preserve">I think </w:t>
      </w:r>
      <w:r>
        <w:t>a simpler option would be for the court</w:t>
      </w:r>
      <w:r w:rsidR="00875076">
        <w:t>, when making the orders for the stay,</w:t>
      </w:r>
      <w:r>
        <w:t xml:space="preserve"> to specify the circumstances under which the stay will </w:t>
      </w:r>
      <w:r w:rsidR="00EB1D75">
        <w:t xml:space="preserve">transition to a different form of stay or </w:t>
      </w:r>
      <w:r>
        <w:t>terminate</w:t>
      </w:r>
      <w:r w:rsidR="00EB1D75">
        <w:t>.  For example, most foreign proceedings that are rehabilitation type proceedings will either terminate upon a successful rehabilitation or transition to a liquidation style proceeding.  The court should be able to gain sufficient understanding of the possible outcomes of the foreign proceeding to frame appropriate orders.</w:t>
      </w:r>
      <w:r w:rsidR="00875076">
        <w:t xml:space="preserve"> </w:t>
      </w:r>
    </w:p>
    <w:sectPr w:rsidR="00DB0AA1" w:rsidRPr="007A590B" w:rsidSect="00E803A2">
      <w:headerReference w:type="first" r:id="rId8"/>
      <w:pgSz w:w="11907" w:h="16840" w:code="9"/>
      <w:pgMar w:top="1418" w:right="1134" w:bottom="1587" w:left="1417"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79" w:rsidRDefault="003F3679">
      <w:r>
        <w:separator/>
      </w:r>
    </w:p>
  </w:endnote>
  <w:endnote w:type="continuationSeparator" w:id="0">
    <w:p w:rsidR="003F3679" w:rsidRDefault="003F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79" w:rsidRDefault="003F3679">
      <w:r>
        <w:separator/>
      </w:r>
    </w:p>
  </w:footnote>
  <w:footnote w:type="continuationSeparator" w:id="0">
    <w:p w:rsidR="003F3679" w:rsidRDefault="003F3679">
      <w:r>
        <w:continuationSeparator/>
      </w:r>
    </w:p>
  </w:footnote>
  <w:footnote w:id="1">
    <w:p w:rsidR="00E803A2" w:rsidRDefault="00E803A2">
      <w:pPr>
        <w:pStyle w:val="FootnoteText"/>
      </w:pPr>
      <w:r>
        <w:rPr>
          <w:rStyle w:val="FootnoteReference"/>
        </w:rPr>
        <w:footnoteRef/>
      </w:r>
      <w:r>
        <w:t xml:space="preserve"> B.Com, LLB, LLM (UQ), Fellow of INSOL International, Partner McCullough Robertson</w:t>
      </w:r>
      <w:r w:rsidR="00D71AE1">
        <w:t>.</w:t>
      </w:r>
    </w:p>
  </w:footnote>
  <w:footnote w:id="2">
    <w:p w:rsidR="00FD72B2" w:rsidRDefault="00FD72B2">
      <w:pPr>
        <w:pStyle w:val="FootnoteText"/>
      </w:pPr>
      <w:r>
        <w:rPr>
          <w:rStyle w:val="FootnoteReference"/>
        </w:rPr>
        <w:footnoteRef/>
      </w:r>
      <w:r>
        <w:t xml:space="preserve"> </w:t>
      </w:r>
      <w:r w:rsidR="00D9729B">
        <w:t>Via Chapter 11 of the US Bankruptcy Code.</w:t>
      </w:r>
    </w:p>
  </w:footnote>
  <w:footnote w:id="3">
    <w:p w:rsidR="00D9729B" w:rsidRDefault="00D9729B">
      <w:pPr>
        <w:pStyle w:val="FootnoteText"/>
      </w:pPr>
      <w:r>
        <w:rPr>
          <w:rStyle w:val="FootnoteReference"/>
        </w:rPr>
        <w:footnoteRef/>
      </w:r>
      <w:r>
        <w:t xml:space="preserve"> Via a UK Scheme of Arrangement.</w:t>
      </w:r>
    </w:p>
  </w:footnote>
  <w:footnote w:id="4">
    <w:p w:rsidR="00D9729B" w:rsidRDefault="00D9729B">
      <w:pPr>
        <w:pStyle w:val="FootnoteText"/>
      </w:pPr>
      <w:r>
        <w:rPr>
          <w:rStyle w:val="FootnoteReference"/>
        </w:rPr>
        <w:footnoteRef/>
      </w:r>
      <w:r>
        <w:t xml:space="preserve"> Via a Singapore Scheme of Arrangement.</w:t>
      </w:r>
    </w:p>
  </w:footnote>
  <w:footnote w:id="5">
    <w:p w:rsidR="0057066A" w:rsidRDefault="0057066A">
      <w:pPr>
        <w:pStyle w:val="FootnoteText"/>
      </w:pPr>
      <w:r>
        <w:rPr>
          <w:rStyle w:val="FootnoteReference"/>
        </w:rPr>
        <w:footnoteRef/>
      </w:r>
      <w:r>
        <w:t xml:space="preserve"> Canada, for example, only enacted 20 of the 32 Articles in the Model Law.</w:t>
      </w:r>
    </w:p>
  </w:footnote>
  <w:footnote w:id="6">
    <w:p w:rsidR="00725951" w:rsidRDefault="00725951">
      <w:pPr>
        <w:pStyle w:val="FootnoteText"/>
      </w:pPr>
      <w:r>
        <w:rPr>
          <w:rStyle w:val="FootnoteReference"/>
        </w:rPr>
        <w:footnoteRef/>
      </w:r>
      <w:r>
        <w:t xml:space="preserve"> Article 15 of the Model Law.</w:t>
      </w:r>
    </w:p>
  </w:footnote>
  <w:footnote w:id="7">
    <w:p w:rsidR="00233E2E" w:rsidRDefault="00233E2E">
      <w:pPr>
        <w:pStyle w:val="FootnoteText"/>
      </w:pPr>
      <w:r>
        <w:rPr>
          <w:rStyle w:val="FootnoteReference"/>
        </w:rPr>
        <w:footnoteRef/>
      </w:r>
      <w:r>
        <w:t xml:space="preserve"> Article 20 of the Model Law.</w:t>
      </w:r>
    </w:p>
  </w:footnote>
  <w:footnote w:id="8">
    <w:p w:rsidR="00D17510" w:rsidRDefault="00D17510">
      <w:pPr>
        <w:pStyle w:val="FootnoteText"/>
      </w:pPr>
      <w:r>
        <w:rPr>
          <w:rStyle w:val="FootnoteReference"/>
        </w:rPr>
        <w:footnoteRef/>
      </w:r>
      <w:r>
        <w:t xml:space="preserve"> Article 21 of the Model Law.</w:t>
      </w:r>
    </w:p>
  </w:footnote>
  <w:footnote w:id="9">
    <w:p w:rsidR="008035DE" w:rsidRPr="003D7BA3" w:rsidRDefault="008035DE" w:rsidP="008035DE">
      <w:pPr>
        <w:pStyle w:val="FootnoteText"/>
        <w:rPr>
          <w:rFonts w:cs="Tahoma"/>
          <w:szCs w:val="18"/>
        </w:rPr>
      </w:pPr>
      <w:r w:rsidRPr="003D7BA3">
        <w:rPr>
          <w:rStyle w:val="FootnoteReference"/>
          <w:rFonts w:cs="Tahoma"/>
          <w:szCs w:val="18"/>
        </w:rPr>
        <w:footnoteRef/>
      </w:r>
      <w:r w:rsidRPr="003D7BA3">
        <w:rPr>
          <w:rFonts w:cs="Tahoma"/>
          <w:szCs w:val="18"/>
        </w:rPr>
        <w:t xml:space="preserve"> See for example, </w:t>
      </w:r>
      <w:r w:rsidRPr="003D7BA3">
        <w:rPr>
          <w:rFonts w:cs="Tahoma"/>
          <w:i/>
          <w:szCs w:val="18"/>
        </w:rPr>
        <w:t>Ackers (as joint foreign representative) v Saad Investments Company Limited (in official liquidation) (a company registered in the Cayman Islands</w:t>
      </w:r>
      <w:r w:rsidRPr="003D7BA3">
        <w:rPr>
          <w:rFonts w:cs="Tahoma"/>
          <w:szCs w:val="18"/>
        </w:rPr>
        <w:t xml:space="preserve">) [2010] FCA 1221; </w:t>
      </w:r>
      <w:r w:rsidRPr="003D7BA3">
        <w:rPr>
          <w:rFonts w:cs="Tahoma"/>
          <w:i/>
          <w:szCs w:val="18"/>
        </w:rPr>
        <w:t xml:space="preserve">Young, Jr, in the matter of Buccaneer Energy Limited v Buccaneer Energy Limited </w:t>
      </w:r>
      <w:r w:rsidRPr="003D7BA3">
        <w:rPr>
          <w:rFonts w:cs="Tahoma"/>
          <w:szCs w:val="18"/>
        </w:rPr>
        <w:t>[2014] FCA 711</w:t>
      </w:r>
      <w:r w:rsidR="00906A2E">
        <w:rPr>
          <w:rFonts w:cs="Tahoma"/>
          <w:szCs w:val="18"/>
        </w:rPr>
        <w:t>.</w:t>
      </w:r>
    </w:p>
  </w:footnote>
  <w:footnote w:id="10">
    <w:p w:rsidR="00D43001" w:rsidRPr="00D43001" w:rsidRDefault="00D43001" w:rsidP="00D43001">
      <w:pPr>
        <w:pStyle w:val="FootnoteText"/>
        <w:rPr>
          <w:i/>
          <w:iCs/>
        </w:rPr>
      </w:pPr>
      <w:r>
        <w:rPr>
          <w:rStyle w:val="FootnoteReference"/>
        </w:rPr>
        <w:footnoteRef/>
      </w:r>
      <w:r>
        <w:t xml:space="preserve"> For example, see </w:t>
      </w:r>
      <w:r w:rsidRPr="00D43001">
        <w:rPr>
          <w:i/>
          <w:iCs/>
        </w:rPr>
        <w:t xml:space="preserve">Gainsford v Tannenbaum </w:t>
      </w:r>
      <w:r w:rsidRPr="00D43001">
        <w:t>(2012) 216 F</w:t>
      </w:r>
      <w:r>
        <w:t>CR 543</w:t>
      </w:r>
      <w:r w:rsidRPr="00D43001">
        <w:t>;</w:t>
      </w:r>
      <w:r>
        <w:t xml:space="preserve"> </w:t>
      </w:r>
      <w:r w:rsidRPr="00D43001">
        <w:rPr>
          <w:i/>
          <w:iCs/>
        </w:rPr>
        <w:t xml:space="preserve">Official Assignee in </w:t>
      </w:r>
      <w:r>
        <w:rPr>
          <w:i/>
          <w:iCs/>
        </w:rPr>
        <w:t xml:space="preserve">Bankruptcy of the Property of </w:t>
      </w:r>
      <w:r w:rsidRPr="00D43001">
        <w:rPr>
          <w:i/>
          <w:iCs/>
        </w:rPr>
        <w:t xml:space="preserve">Ma v Ma </w:t>
      </w:r>
      <w:r w:rsidRPr="00D43001">
        <w:t>[2018) FCA 948</w:t>
      </w:r>
      <w:r>
        <w:t xml:space="preserve">; </w:t>
      </w:r>
      <w:r w:rsidRPr="00D43001">
        <w:rPr>
          <w:i/>
          <w:iCs/>
        </w:rPr>
        <w:t xml:space="preserve">Official Assignee in Bankruptcy </w:t>
      </w:r>
      <w:r>
        <w:rPr>
          <w:i/>
          <w:iCs/>
        </w:rPr>
        <w:t xml:space="preserve">of the Property of Hanna; Hanna </w:t>
      </w:r>
      <w:r w:rsidRPr="00D43001">
        <w:rPr>
          <w:i/>
          <w:iCs/>
        </w:rPr>
        <w:t>v Hanna</w:t>
      </w:r>
      <w:r>
        <w:rPr>
          <w:i/>
          <w:iCs/>
        </w:rPr>
        <w:t xml:space="preserve"> </w:t>
      </w:r>
      <w:r w:rsidRPr="00D43001">
        <w:rPr>
          <w:iCs/>
        </w:rPr>
        <w:t>[2018) FCA 156</w:t>
      </w:r>
      <w:r w:rsidR="006E58F2">
        <w:rPr>
          <w:iCs/>
        </w:rPr>
        <w:t>.</w:t>
      </w:r>
    </w:p>
  </w:footnote>
  <w:footnote w:id="11">
    <w:p w:rsidR="00D311F3" w:rsidRDefault="00D311F3">
      <w:pPr>
        <w:pStyle w:val="FootnoteText"/>
      </w:pPr>
      <w:r>
        <w:rPr>
          <w:rStyle w:val="FootnoteReference"/>
        </w:rPr>
        <w:footnoteRef/>
      </w:r>
      <w:r>
        <w:t xml:space="preserve"> </w:t>
      </w:r>
      <w:r w:rsidRPr="000B6D35">
        <w:rPr>
          <w:rFonts w:cs="Tahoma"/>
          <w:i/>
          <w:szCs w:val="18"/>
        </w:rPr>
        <w:t>In re Golobo Comunicacoes E Partipacoes S.A.,</w:t>
      </w:r>
      <w:r w:rsidRPr="000B6D35">
        <w:rPr>
          <w:rFonts w:cs="Tahoma"/>
          <w:szCs w:val="18"/>
        </w:rPr>
        <w:t xml:space="preserve"> 317 B.R. 235, 249 (Bankr. S.D.N.Y. 2004).</w:t>
      </w:r>
    </w:p>
  </w:footnote>
  <w:footnote w:id="12">
    <w:p w:rsidR="00D311F3" w:rsidRPr="00BF4334" w:rsidRDefault="00D311F3">
      <w:pPr>
        <w:pStyle w:val="FootnoteText"/>
        <w:rPr>
          <w:rFonts w:cs="Tahoma"/>
          <w:szCs w:val="18"/>
        </w:rPr>
      </w:pPr>
      <w:r>
        <w:rPr>
          <w:rStyle w:val="FootnoteReference"/>
        </w:rPr>
        <w:footnoteRef/>
      </w:r>
      <w:r>
        <w:t xml:space="preserve"> </w:t>
      </w:r>
      <w:r w:rsidR="00BF4334" w:rsidRPr="00BF4334">
        <w:rPr>
          <w:rFonts w:cs="Tahoma"/>
          <w:i/>
          <w:szCs w:val="18"/>
        </w:rPr>
        <w:t>In re Octaviar Admin. Pty Ltd.,</w:t>
      </w:r>
      <w:r w:rsidR="00BF4334" w:rsidRPr="00BF4334">
        <w:rPr>
          <w:rFonts w:cs="Tahoma"/>
          <w:szCs w:val="18"/>
        </w:rPr>
        <w:t xml:space="preserve"> 511 </w:t>
      </w:r>
      <w:r w:rsidR="00BF4334">
        <w:rPr>
          <w:rFonts w:cs="Tahoma"/>
          <w:szCs w:val="18"/>
        </w:rPr>
        <w:t xml:space="preserve">B.R. 361 (Bankr. S.D.N.Y. 2014); </w:t>
      </w:r>
      <w:r w:rsidR="004A6850" w:rsidRPr="004A6850">
        <w:rPr>
          <w:rFonts w:cs="Tahoma"/>
          <w:i/>
          <w:szCs w:val="18"/>
        </w:rPr>
        <w:t>In re Suntech Power Holdings Co., Ltd</w:t>
      </w:r>
      <w:r w:rsidR="004A6850" w:rsidRPr="004A6850">
        <w:rPr>
          <w:rFonts w:cs="Tahoma"/>
          <w:szCs w:val="18"/>
        </w:rPr>
        <w:t xml:space="preserve"> 520 B.R. 399 (Bankr. S.D.N.Y. 2014).</w:t>
      </w:r>
    </w:p>
  </w:footnote>
  <w:footnote w:id="13">
    <w:p w:rsidR="00A77422" w:rsidRDefault="00A77422">
      <w:pPr>
        <w:pStyle w:val="FootnoteText"/>
      </w:pPr>
      <w:r>
        <w:rPr>
          <w:rStyle w:val="FootnoteReference"/>
        </w:rPr>
        <w:footnoteRef/>
      </w:r>
      <w:r>
        <w:t xml:space="preserve"> See sections </w:t>
      </w:r>
      <w:r w:rsidR="00E24ED7">
        <w:t xml:space="preserve">63(3), 88(1), 246(1)(d) and </w:t>
      </w:r>
      <w:r>
        <w:t xml:space="preserve">246(3) </w:t>
      </w:r>
      <w:r w:rsidR="00E24ED7">
        <w:t xml:space="preserve">of the </w:t>
      </w:r>
      <w:r w:rsidR="00E24ED7" w:rsidRPr="00E24ED7">
        <w:rPr>
          <w:i/>
        </w:rPr>
        <w:t>Insolvency, Restructuring and Dissolution Act</w:t>
      </w:r>
      <w:r w:rsidR="00E24ED7">
        <w:t xml:space="preserve"> 2018 (Singapore).</w:t>
      </w:r>
    </w:p>
  </w:footnote>
  <w:footnote w:id="14">
    <w:p w:rsidR="00322ED2" w:rsidRDefault="00322ED2">
      <w:pPr>
        <w:pStyle w:val="FootnoteText"/>
      </w:pPr>
      <w:r>
        <w:rPr>
          <w:rStyle w:val="FootnoteReference"/>
        </w:rPr>
        <w:footnoteRef/>
      </w:r>
      <w:r>
        <w:t xml:space="preserve"> For an example of where recognition was refused because a foreign debtor in Chapter 11 Bankruptcy did not have either its COMI or an establishment in the US see </w:t>
      </w:r>
      <w:r w:rsidRPr="00322ED2">
        <w:rPr>
          <w:i/>
        </w:rPr>
        <w:t>Legend International Holdings Inc (as debtor in possession of the assets of Legend International Holdings Inc) v Legend International Holdings Inc; sub nom Indian Farmers Fertilizer Cooperative Ltd v Legend International Holdings Inc</w:t>
      </w:r>
      <w:r w:rsidRPr="00322ED2">
        <w:t xml:space="preserve"> (ACSR) (2016) 52 VR 1; (2016) 113 ACSR 568; [2016] VSC 308; BC201604229</w:t>
      </w:r>
      <w:r w:rsidR="00F77084">
        <w:t>.</w:t>
      </w:r>
    </w:p>
  </w:footnote>
  <w:footnote w:id="15">
    <w:p w:rsidR="00143576" w:rsidRDefault="00143576" w:rsidP="00143576">
      <w:pPr>
        <w:pStyle w:val="FootnoteText"/>
      </w:pPr>
      <w:r>
        <w:rPr>
          <w:rStyle w:val="FootnoteReference"/>
        </w:rPr>
        <w:footnoteRef/>
      </w:r>
      <w:r>
        <w:t xml:space="preserve"> T</w:t>
      </w:r>
      <w:r w:rsidRPr="000335FE">
        <w:t xml:space="preserve">he foreign representatives of these insolvencies </w:t>
      </w:r>
      <w:r w:rsidR="003B5A0A">
        <w:t xml:space="preserve">are left </w:t>
      </w:r>
      <w:r w:rsidR="006A64E8">
        <w:t>to use</w:t>
      </w:r>
      <w:r w:rsidR="003B5A0A">
        <w:t xml:space="preserve"> the</w:t>
      </w:r>
      <w:r w:rsidRPr="000335FE">
        <w:t xml:space="preserve"> letter of request procedure </w:t>
      </w:r>
      <w:r>
        <w:t>under section 581 of the Corporations Act to seek assistance from Australian courts.</w:t>
      </w:r>
    </w:p>
  </w:footnote>
  <w:footnote w:id="16">
    <w:p w:rsidR="00F912AC" w:rsidRDefault="00F912AC">
      <w:pPr>
        <w:pStyle w:val="FootnoteText"/>
      </w:pPr>
      <w:r>
        <w:rPr>
          <w:rStyle w:val="FootnoteReference"/>
        </w:rPr>
        <w:footnoteRef/>
      </w:r>
      <w:r>
        <w:t xml:space="preserve"> </w:t>
      </w:r>
      <w:r w:rsidR="00F77084">
        <w:rPr>
          <w:i/>
        </w:rPr>
        <w:t>C</w:t>
      </w:r>
      <w:r w:rsidRPr="00D4379F">
        <w:rPr>
          <w:i/>
        </w:rPr>
        <w:t>ompanies Creditors Arrangement Act</w:t>
      </w:r>
      <w:r>
        <w:t xml:space="preserve">, RSC 1985, c C-36 </w:t>
      </w:r>
      <w:r w:rsidR="00F77084">
        <w:t>s 45(1)</w:t>
      </w:r>
      <w:r w:rsidRPr="00D4379F">
        <w:t xml:space="preserve">; </w:t>
      </w:r>
      <w:r w:rsidRPr="00D4379F">
        <w:rPr>
          <w:i/>
        </w:rPr>
        <w:t>Bankruptcy and Insolvency Act</w:t>
      </w:r>
      <w:r w:rsidR="00F77084">
        <w:t>, RSC 1985, c B-3 s</w:t>
      </w:r>
      <w:r>
        <w:t xml:space="preserve"> </w:t>
      </w:r>
      <w:r w:rsidR="00F77084">
        <w:t>268(1).</w:t>
      </w:r>
    </w:p>
  </w:footnote>
  <w:footnote w:id="17">
    <w:p w:rsidR="007B7774" w:rsidRDefault="007B7774">
      <w:pPr>
        <w:pStyle w:val="FootnoteText"/>
      </w:pPr>
      <w:r>
        <w:rPr>
          <w:rStyle w:val="FootnoteReference"/>
        </w:rPr>
        <w:footnoteRef/>
      </w:r>
      <w:r>
        <w:t xml:space="preserve"> Section 17 of the </w:t>
      </w:r>
      <w:r w:rsidRPr="00AB4301">
        <w:rPr>
          <w:i/>
        </w:rPr>
        <w:t>Cross-Border Insolvency Act</w:t>
      </w:r>
      <w:r>
        <w:t xml:space="preserve"> 2008 (Cth) sets out the relevant provisions of the </w:t>
      </w:r>
      <w:r w:rsidR="006F4A1D">
        <w:t>Bankruptcy Act and Corporations Act which are available to a foreign representative under Article 23.</w:t>
      </w:r>
    </w:p>
  </w:footnote>
  <w:footnote w:id="18">
    <w:p w:rsidR="001E51F4" w:rsidRDefault="001E51F4">
      <w:pPr>
        <w:pStyle w:val="FootnoteText"/>
      </w:pPr>
      <w:r>
        <w:rPr>
          <w:rStyle w:val="FootnoteReference"/>
        </w:rPr>
        <w:footnoteRef/>
      </w:r>
      <w:r>
        <w:t xml:space="preserve"> </w:t>
      </w:r>
      <w:r w:rsidRPr="001E51F4">
        <w:rPr>
          <w:lang w:val="en-US"/>
        </w:rPr>
        <w:t>[2018] FCA 1979</w:t>
      </w:r>
      <w:r>
        <w:rPr>
          <w:lang w:val="en-US"/>
        </w:rPr>
        <w:t>.</w:t>
      </w:r>
    </w:p>
  </w:footnote>
  <w:footnote w:id="19">
    <w:p w:rsidR="00DD6EAD" w:rsidRDefault="00DD6EAD">
      <w:pPr>
        <w:pStyle w:val="FootnoteText"/>
      </w:pPr>
      <w:r>
        <w:rPr>
          <w:rStyle w:val="FootnoteReference"/>
        </w:rPr>
        <w:footnoteRef/>
      </w:r>
      <w:r>
        <w:t xml:space="preserve"> </w:t>
      </w:r>
      <w:r w:rsidR="00102B2F">
        <w:t>T</w:t>
      </w:r>
      <w:r w:rsidR="00102B2F" w:rsidRPr="00102B2F">
        <w:t>his point is yet to be directly considered by a court as far as I am aware</w:t>
      </w:r>
      <w:r w:rsidR="00250805">
        <w:t>.</w:t>
      </w:r>
    </w:p>
  </w:footnote>
  <w:footnote w:id="20">
    <w:p w:rsidR="00246483" w:rsidRDefault="00246483" w:rsidP="00246483">
      <w:pPr>
        <w:pStyle w:val="FootnoteText"/>
      </w:pPr>
      <w:r>
        <w:rPr>
          <w:rStyle w:val="FootnoteReference"/>
        </w:rPr>
        <w:footnoteRef/>
      </w:r>
      <w:r>
        <w:t xml:space="preserve"> </w:t>
      </w:r>
      <w:r w:rsidRPr="00F0219C">
        <w:t>[2018] FCA 1932</w:t>
      </w:r>
      <w:r>
        <w:t>.</w:t>
      </w:r>
    </w:p>
  </w:footnote>
  <w:footnote w:id="21">
    <w:p w:rsidR="00626679" w:rsidRDefault="00626679" w:rsidP="00626679">
      <w:pPr>
        <w:pStyle w:val="FootnoteText"/>
      </w:pPr>
      <w:r>
        <w:rPr>
          <w:rStyle w:val="FootnoteReference"/>
        </w:rPr>
        <w:footnoteRef/>
      </w:r>
      <w:r>
        <w:t xml:space="preserve"> </w:t>
      </w:r>
      <w:r w:rsidRPr="00BE2BB9">
        <w:t xml:space="preserve">[2014] FCA </w:t>
      </w:r>
      <w:r>
        <w:t xml:space="preserve">1112 </w:t>
      </w:r>
      <w:r w:rsidRPr="00BE2BB9">
        <w:t>at [35]-[39]</w:t>
      </w:r>
      <w:r>
        <w:t>.</w:t>
      </w:r>
    </w:p>
  </w:footnote>
  <w:footnote w:id="22">
    <w:p w:rsidR="00626679" w:rsidRDefault="00626679">
      <w:pPr>
        <w:pStyle w:val="FootnoteText"/>
      </w:pPr>
      <w:r>
        <w:rPr>
          <w:rStyle w:val="FootnoteReference"/>
        </w:rPr>
        <w:footnoteRef/>
      </w:r>
      <w:r>
        <w:t xml:space="preserve"> </w:t>
      </w:r>
      <w:r w:rsidRPr="00F0219C">
        <w:t>[2018] FCA 1932</w:t>
      </w:r>
      <w:r>
        <w:t xml:space="preserve"> at [11] and [12]</w:t>
      </w:r>
      <w:r w:rsidR="00961A79">
        <w:t>.</w:t>
      </w:r>
    </w:p>
  </w:footnote>
  <w:footnote w:id="23">
    <w:p w:rsidR="00396379" w:rsidRDefault="00396379" w:rsidP="00396379">
      <w:pPr>
        <w:pStyle w:val="FootnoteText"/>
      </w:pPr>
      <w:r>
        <w:rPr>
          <w:rStyle w:val="FootnoteReference"/>
        </w:rPr>
        <w:footnoteRef/>
      </w:r>
      <w:r>
        <w:t xml:space="preserve"> See paras 31 and 157-160.</w:t>
      </w:r>
    </w:p>
  </w:footnote>
  <w:footnote w:id="24">
    <w:p w:rsidR="00396379" w:rsidRDefault="00396379" w:rsidP="00396379">
      <w:pPr>
        <w:pStyle w:val="FootnoteText"/>
      </w:pPr>
      <w:r>
        <w:rPr>
          <w:rStyle w:val="FootnoteReference"/>
        </w:rPr>
        <w:footnoteRef/>
      </w:r>
      <w:r>
        <w:t xml:space="preserve"> Look Chan Ho, ‘</w:t>
      </w:r>
      <w:r w:rsidRPr="000D3FBC">
        <w:t>The Revised UNCITRAL Model Law Enactment Guide—A Welcome Product?</w:t>
      </w:r>
      <w:r>
        <w:t xml:space="preserve">’, 2014, </w:t>
      </w:r>
      <w:r w:rsidRPr="000D3FBC">
        <w:t>Journal of International Banking Law and Regulation</w:t>
      </w:r>
      <w:r>
        <w:t>, Issue 6, p 325.</w:t>
      </w:r>
    </w:p>
  </w:footnote>
  <w:footnote w:id="25">
    <w:p w:rsidR="00F0219C" w:rsidRDefault="00F0219C" w:rsidP="00F0219C">
      <w:pPr>
        <w:pStyle w:val="FootnoteText"/>
      </w:pPr>
      <w:r>
        <w:rPr>
          <w:rStyle w:val="FootnoteReference"/>
        </w:rPr>
        <w:footnoteRef/>
      </w:r>
      <w:r>
        <w:t xml:space="preserve"> </w:t>
      </w:r>
      <w:r w:rsidRPr="00F0219C">
        <w:t>[2012]</w:t>
      </w:r>
      <w:r>
        <w:t xml:space="preserve"> FCA 904; 216 FCR 543 </w:t>
      </w:r>
      <w:r w:rsidRPr="00F0219C">
        <w:t>at 555</w:t>
      </w:r>
      <w:r w:rsidR="00626679">
        <w:t xml:space="preserve"> </w:t>
      </w:r>
      <w:r w:rsidRPr="00F0219C">
        <w:t>[45]</w:t>
      </w:r>
      <w:r w:rsidR="00961A79">
        <w:t>.</w:t>
      </w:r>
    </w:p>
  </w:footnote>
  <w:footnote w:id="26">
    <w:p w:rsidR="00EE6182" w:rsidRPr="003D7BA3" w:rsidRDefault="00EE6182" w:rsidP="00EE6182">
      <w:pPr>
        <w:autoSpaceDE w:val="0"/>
        <w:autoSpaceDN w:val="0"/>
        <w:adjustRightInd w:val="0"/>
        <w:rPr>
          <w:rFonts w:cs="Tahoma"/>
          <w:sz w:val="18"/>
          <w:szCs w:val="18"/>
        </w:rPr>
      </w:pPr>
      <w:r w:rsidRPr="003D7BA3">
        <w:rPr>
          <w:rStyle w:val="FootnoteReference"/>
          <w:rFonts w:cs="Tahoma"/>
          <w:szCs w:val="18"/>
        </w:rPr>
        <w:footnoteRef/>
      </w:r>
      <w:r w:rsidRPr="003D7BA3">
        <w:rPr>
          <w:rFonts w:cs="Tahoma"/>
          <w:sz w:val="18"/>
          <w:szCs w:val="18"/>
        </w:rPr>
        <w:t xml:space="preserve"> </w:t>
      </w:r>
      <w:r w:rsidRPr="00771983">
        <w:rPr>
          <w:rFonts w:cs="Tahoma"/>
          <w:i/>
          <w:sz w:val="18"/>
          <w:szCs w:val="18"/>
          <w:lang w:eastAsia="en-AU"/>
        </w:rPr>
        <w:t>In re Fairfield Sentry Ltd</w:t>
      </w:r>
      <w:r w:rsidRPr="003D7BA3">
        <w:rPr>
          <w:rFonts w:cs="Tahoma"/>
          <w:sz w:val="18"/>
          <w:szCs w:val="18"/>
          <w:lang w:eastAsia="en-AU"/>
        </w:rPr>
        <w:t>., 714 F. 3d 127 Court of Appeals, 2nd Circuit 2013.</w:t>
      </w:r>
    </w:p>
  </w:footnote>
  <w:footnote w:id="27">
    <w:p w:rsidR="00FD127B" w:rsidRDefault="00FD127B">
      <w:pPr>
        <w:pStyle w:val="FootnoteText"/>
      </w:pPr>
      <w:r>
        <w:rPr>
          <w:rStyle w:val="FootnoteReference"/>
        </w:rPr>
        <w:footnoteRef/>
      </w:r>
      <w:r>
        <w:t xml:space="preserve"> </w:t>
      </w:r>
      <w:r w:rsidRPr="00FD127B">
        <w:rPr>
          <w:i/>
        </w:rPr>
        <w:t>In re Suntech Power Holdings Co., Ltd</w:t>
      </w:r>
      <w:r w:rsidRPr="00FD127B">
        <w:t xml:space="preserve"> 520 B.R. 399 (Bankr. S.D.N.Y. 2014).</w:t>
      </w:r>
    </w:p>
  </w:footnote>
  <w:footnote w:id="28">
    <w:p w:rsidR="00F0219C" w:rsidRDefault="00F0219C">
      <w:pPr>
        <w:pStyle w:val="FootnoteText"/>
      </w:pPr>
      <w:r>
        <w:rPr>
          <w:rStyle w:val="FootnoteReference"/>
        </w:rPr>
        <w:footnoteRef/>
      </w:r>
      <w:r>
        <w:t xml:space="preserve"> </w:t>
      </w:r>
      <w:r w:rsidRPr="00F0219C">
        <w:t>[2012] FCA 1002 at [18]</w:t>
      </w:r>
      <w:r>
        <w:t>.</w:t>
      </w:r>
    </w:p>
  </w:footnote>
  <w:footnote w:id="29">
    <w:p w:rsidR="003905D1" w:rsidRDefault="003905D1" w:rsidP="003905D1">
      <w:pPr>
        <w:pStyle w:val="FootnoteText"/>
      </w:pPr>
      <w:r>
        <w:rPr>
          <w:rStyle w:val="FootnoteReference"/>
        </w:rPr>
        <w:footnoteRef/>
      </w:r>
      <w:r>
        <w:t xml:space="preserve"> Chapter 5 of the Corporations Act, to the extent relevant, includes the following Parts:</w:t>
      </w:r>
    </w:p>
    <w:p w:rsidR="003905D1" w:rsidRDefault="003905D1" w:rsidP="003905D1">
      <w:pPr>
        <w:pStyle w:val="FootnoteText"/>
        <w:numPr>
          <w:ilvl w:val="0"/>
          <w:numId w:val="16"/>
        </w:numPr>
        <w:ind w:hanging="567"/>
      </w:pPr>
      <w:r>
        <w:t>Part 5.1 (scheme of arrangement) – no stay applies.</w:t>
      </w:r>
    </w:p>
    <w:p w:rsidR="003905D1" w:rsidRDefault="003905D1" w:rsidP="003905D1">
      <w:pPr>
        <w:pStyle w:val="FootnoteText"/>
        <w:numPr>
          <w:ilvl w:val="0"/>
          <w:numId w:val="16"/>
        </w:numPr>
        <w:ind w:hanging="567"/>
      </w:pPr>
      <w:r>
        <w:t xml:space="preserve">Part 5.3A (voluntary administration) – </w:t>
      </w:r>
      <w:bookmarkStart w:id="0" w:name="_GoBack"/>
      <w:r>
        <w:t>ss</w:t>
      </w:r>
      <w:bookmarkEnd w:id="0"/>
      <w:r>
        <w:t xml:space="preserve"> 440A-440JA provide for stays.</w:t>
      </w:r>
    </w:p>
    <w:p w:rsidR="003905D1" w:rsidRDefault="003905D1" w:rsidP="003905D1">
      <w:pPr>
        <w:pStyle w:val="FootnoteText"/>
        <w:numPr>
          <w:ilvl w:val="0"/>
          <w:numId w:val="16"/>
        </w:numPr>
        <w:ind w:hanging="567"/>
      </w:pPr>
      <w:r>
        <w:t>Part 5.4/Part 5.4B (Court-ordered liquidation) – ss 467, 471B and 471C provide for stays.</w:t>
      </w:r>
    </w:p>
    <w:p w:rsidR="003905D1" w:rsidRDefault="003905D1" w:rsidP="003905D1">
      <w:pPr>
        <w:pStyle w:val="FootnoteText"/>
        <w:numPr>
          <w:ilvl w:val="0"/>
          <w:numId w:val="16"/>
        </w:numPr>
        <w:ind w:hanging="567"/>
      </w:pPr>
      <w:r>
        <w:t>Part 5.5 (voluntary liquidation) –s 500 provides for a stay.</w:t>
      </w:r>
    </w:p>
  </w:footnote>
  <w:footnote w:id="30">
    <w:p w:rsidR="00C21A05" w:rsidRDefault="00C21A05">
      <w:pPr>
        <w:pStyle w:val="FootnoteText"/>
      </w:pPr>
      <w:r>
        <w:rPr>
          <w:rStyle w:val="FootnoteReference"/>
        </w:rPr>
        <w:footnoteRef/>
      </w:r>
      <w:r>
        <w:t xml:space="preserve"> See sections 440B and 441A.</w:t>
      </w:r>
    </w:p>
  </w:footnote>
  <w:footnote w:id="31">
    <w:p w:rsidR="00C21A05" w:rsidRDefault="00C21A05">
      <w:pPr>
        <w:pStyle w:val="FootnoteText"/>
      </w:pPr>
      <w:r>
        <w:rPr>
          <w:rStyle w:val="FootnoteReference"/>
        </w:rPr>
        <w:footnoteRef/>
      </w:r>
      <w:r>
        <w:t xml:space="preserve"> The stay is contained within section 471B for court ordered liquidations and section 500 for voluntary liquidations and neither apply to secured creditors.</w:t>
      </w:r>
    </w:p>
  </w:footnote>
  <w:footnote w:id="32">
    <w:p w:rsidR="00F566A3" w:rsidRDefault="00F566A3">
      <w:pPr>
        <w:pStyle w:val="FootnoteText"/>
      </w:pPr>
      <w:r>
        <w:rPr>
          <w:rStyle w:val="FootnoteReference"/>
        </w:rPr>
        <w:footnoteRef/>
      </w:r>
      <w:r w:rsidR="003905D1">
        <w:t xml:space="preserve"> A</w:t>
      </w:r>
      <w:r>
        <w:t>t paragraph 1.28</w:t>
      </w:r>
      <w:r w:rsidR="00E20ABB">
        <w:t>.</w:t>
      </w:r>
    </w:p>
  </w:footnote>
  <w:footnote w:id="33">
    <w:p w:rsidR="005C7144" w:rsidRDefault="005C7144">
      <w:pPr>
        <w:pStyle w:val="FootnoteText"/>
      </w:pPr>
      <w:r>
        <w:rPr>
          <w:rStyle w:val="FootnoteReference"/>
        </w:rPr>
        <w:footnoteRef/>
      </w:r>
      <w:r>
        <w:t xml:space="preserve"> </w:t>
      </w:r>
      <w:r w:rsidR="00B5109A" w:rsidRPr="00B5109A">
        <w:rPr>
          <w:i/>
        </w:rPr>
        <w:t>Tai-Soo Suk v Hanjin Shipping Co Ltd</w:t>
      </w:r>
      <w:r w:rsidR="00B5109A" w:rsidRPr="00B5109A">
        <w:t xml:space="preserve"> [2016] FCA 1404 </w:t>
      </w:r>
      <w:r w:rsidR="00B5109A">
        <w:t xml:space="preserve">at [37].  </w:t>
      </w:r>
    </w:p>
  </w:footnote>
  <w:footnote w:id="34">
    <w:p w:rsidR="00DD5CE0" w:rsidRDefault="00DD5CE0">
      <w:pPr>
        <w:pStyle w:val="FootnoteText"/>
      </w:pPr>
      <w:r>
        <w:rPr>
          <w:rStyle w:val="FootnoteReference"/>
        </w:rPr>
        <w:footnoteRef/>
      </w:r>
      <w:r>
        <w:t xml:space="preserve"> In </w:t>
      </w:r>
      <w:r w:rsidRPr="00DD5CE0">
        <w:rPr>
          <w:i/>
        </w:rPr>
        <w:t>Tai-Soo Suk v Hanjin Shipping Co Ltd</w:t>
      </w:r>
      <w:r w:rsidRPr="00DD5CE0">
        <w:t xml:space="preserve"> [2016] FCA 1404 </w:t>
      </w:r>
      <w:r>
        <w:t>the declaration made by the court was ‘</w:t>
      </w:r>
      <w:r w:rsidRPr="00B4044C">
        <w:rPr>
          <w:i/>
        </w:rPr>
        <w:t>The Court declares that for the purpose of section 16 of the Cross-Border Insolvency Act 2008 (Cth) and article 20(2) of the Model Law, the scope and modification or termination of the stay and suspension referred to in article 20(1) of the Model Law are the same as would apply if the stay and suspension arose under Part 5.3A of the Corporations Act 2001 (Cth)</w:t>
      </w:r>
      <w:r w:rsidRPr="00DD5CE0">
        <w:t>.</w:t>
      </w:r>
      <w:r>
        <w:t>’</w:t>
      </w:r>
    </w:p>
  </w:footnote>
  <w:footnote w:id="35">
    <w:p w:rsidR="00D33100" w:rsidRDefault="00D33100" w:rsidP="00D33100">
      <w:pPr>
        <w:pStyle w:val="FootnoteText"/>
      </w:pPr>
      <w:r>
        <w:rPr>
          <w:rStyle w:val="FootnoteReference"/>
        </w:rPr>
        <w:footnoteRef/>
      </w:r>
      <w:r>
        <w:t xml:space="preserve"> Article 20(1) of the Model Law as enacted within the Third Schedule of the </w:t>
      </w:r>
      <w:r w:rsidRPr="00387044">
        <w:rPr>
          <w:i/>
        </w:rPr>
        <w:t>Insolvency, Restructuring and Dissolution Act</w:t>
      </w:r>
      <w:r>
        <w:t xml:space="preserve"> 2018 (Singapore).  </w:t>
      </w:r>
    </w:p>
  </w:footnote>
  <w:footnote w:id="36">
    <w:p w:rsidR="00D33100" w:rsidRDefault="00D33100" w:rsidP="00D33100">
      <w:pPr>
        <w:pStyle w:val="FootnoteText"/>
      </w:pPr>
      <w:r>
        <w:rPr>
          <w:rStyle w:val="FootnoteReference"/>
        </w:rPr>
        <w:footnoteRef/>
      </w:r>
      <w:r>
        <w:t xml:space="preserve"> Article 20(1) of the Model Law as enacted in The Cross-Border Insolvency Regulations 2006.</w:t>
      </w:r>
    </w:p>
  </w:footnote>
  <w:footnote w:id="37">
    <w:p w:rsidR="00EE1F4F" w:rsidRDefault="00EE1F4F">
      <w:pPr>
        <w:pStyle w:val="FootnoteText"/>
      </w:pPr>
      <w:r>
        <w:rPr>
          <w:rStyle w:val="FootnoteReference"/>
        </w:rPr>
        <w:footnoteRef/>
      </w:r>
      <w:r>
        <w:t xml:space="preserve"> </w:t>
      </w:r>
      <w:r w:rsidRPr="00EE1F4F">
        <w:rPr>
          <w:i/>
        </w:rPr>
        <w:t>Companies Creditors Arrangement Act</w:t>
      </w:r>
      <w:r w:rsidRPr="00EE1F4F">
        <w:t xml:space="preserve">, RSC 1985, c C-36 </w:t>
      </w:r>
      <w:r>
        <w:t>s 48</w:t>
      </w:r>
      <w:r w:rsidRPr="00EE1F4F">
        <w:t xml:space="preserve">; </w:t>
      </w:r>
      <w:r w:rsidRPr="00EE1F4F">
        <w:rPr>
          <w:i/>
        </w:rPr>
        <w:t>Bankruptcy and Insolvency Act</w:t>
      </w:r>
      <w:r w:rsidRPr="00EE1F4F">
        <w:t xml:space="preserve">, RSC 1985, c B-3 s </w:t>
      </w:r>
      <w:r>
        <w:t>271</w:t>
      </w:r>
      <w:r w:rsidRPr="00EE1F4F">
        <w:t>.</w:t>
      </w:r>
    </w:p>
  </w:footnote>
  <w:footnote w:id="38">
    <w:p w:rsidR="00551D2D" w:rsidRDefault="00551D2D" w:rsidP="00551D2D">
      <w:pPr>
        <w:pStyle w:val="FootnoteText"/>
      </w:pPr>
      <w:r>
        <w:rPr>
          <w:rStyle w:val="FootnoteReference"/>
        </w:rPr>
        <w:footnoteRef/>
      </w:r>
      <w:r>
        <w:t xml:space="preserve"> See, for example,</w:t>
      </w:r>
      <w:r w:rsidRPr="00551D2D">
        <w:rPr>
          <w:i/>
          <w:iCs/>
        </w:rPr>
        <w:t xml:space="preserve">Yakushiji v Daiichi Chuo Kisen Kaisha (No 2) </w:t>
      </w:r>
      <w:r w:rsidRPr="00551D2D">
        <w:t>[2016] FCA 1277</w:t>
      </w:r>
      <w:r>
        <w:t xml:space="preserve">; </w:t>
      </w:r>
      <w:r w:rsidRPr="00551D2D">
        <w:rPr>
          <w:i/>
        </w:rPr>
        <w:t>Board of Directors of Rizzo-Bottiglieri-De Carlini Armatori SpA v Rizzo-Bottiglieri-De Carlini Armatori SpA</w:t>
      </w:r>
      <w:r>
        <w:t xml:space="preserve"> [2017] FCA 331; </w:t>
      </w:r>
      <w:r w:rsidRPr="00551D2D">
        <w:rPr>
          <w:i/>
        </w:rPr>
        <w:t>Board of Directors of Rizzo-Bottiglieri-De Carlini Armatori SpA v Rizzo-Bottiglieri-De Carlini Armatori SpA</w:t>
      </w:r>
      <w:r>
        <w:t xml:space="preserve"> [2018] FCA 153</w:t>
      </w:r>
      <w:r w:rsidR="00A954F4">
        <w:t>.</w:t>
      </w:r>
    </w:p>
  </w:footnote>
  <w:footnote w:id="39">
    <w:p w:rsidR="00551D2D" w:rsidRDefault="00551D2D">
      <w:pPr>
        <w:pStyle w:val="FootnoteText"/>
      </w:pPr>
      <w:r>
        <w:rPr>
          <w:rStyle w:val="FootnoteReference"/>
        </w:rPr>
        <w:footnoteRef/>
      </w:r>
      <w:r>
        <w:t xml:space="preserve"> </w:t>
      </w:r>
      <w:r w:rsidR="00F90ADC" w:rsidRPr="00F90ADC">
        <w:rPr>
          <w:i/>
        </w:rPr>
        <w:t>Board of Directors of Rizzo-Bottiglieri-De Carlini Armatori SpA v Rizzo-Bottiglieri-De Carlini Armatori SpA</w:t>
      </w:r>
      <w:r w:rsidR="00F90ADC" w:rsidRPr="00F90ADC">
        <w:t xml:space="preserve"> [2018] FCA 153</w:t>
      </w:r>
      <w:r w:rsidR="00F90ADC">
        <w:t xml:space="preserve"> at [27]</w:t>
      </w:r>
      <w:r w:rsidR="000F4310">
        <w:t>.</w:t>
      </w:r>
    </w:p>
  </w:footnote>
  <w:footnote w:id="40">
    <w:p w:rsidR="000F4310" w:rsidRDefault="000F4310">
      <w:pPr>
        <w:pStyle w:val="FootnoteText"/>
      </w:pPr>
      <w:r>
        <w:rPr>
          <w:rStyle w:val="FootnoteReference"/>
        </w:rPr>
        <w:footnoteRef/>
      </w:r>
      <w:r>
        <w:t xml:space="preserve"> Ibid at [30].</w:t>
      </w:r>
    </w:p>
  </w:footnote>
  <w:footnote w:id="41">
    <w:p w:rsidR="000F4310" w:rsidRDefault="000F4310">
      <w:pPr>
        <w:pStyle w:val="FootnoteText"/>
      </w:pPr>
      <w:r>
        <w:rPr>
          <w:rStyle w:val="FootnoteReference"/>
        </w:rPr>
        <w:footnoteRef/>
      </w:r>
      <w:r>
        <w:t xml:space="preserve"> Supra n </w:t>
      </w:r>
      <w:r>
        <w:fldChar w:fldCharType="begin"/>
      </w:r>
      <w:r>
        <w:instrText xml:space="preserve"> NOTEREF _Ref22482790 \h </w:instrText>
      </w:r>
      <w:r>
        <w:fldChar w:fldCharType="separate"/>
      </w:r>
      <w:r w:rsidR="00511531">
        <w:t>34</w:t>
      </w:r>
      <w:r>
        <w:fldChar w:fldCharType="end"/>
      </w:r>
      <w:r>
        <w:t xml:space="preserve"> at [31].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79" w:rsidRPr="00E803A2" w:rsidRDefault="00CB38E5" w:rsidP="00CB38E5">
    <w:pPr>
      <w:pStyle w:val="Header"/>
      <w:jc w:val="center"/>
      <w:rPr>
        <w:b/>
        <w:sz w:val="28"/>
        <w:szCs w:val="28"/>
      </w:rPr>
    </w:pPr>
    <w:r w:rsidRPr="00E803A2">
      <w:rPr>
        <w:b/>
        <w:sz w:val="28"/>
        <w:szCs w:val="28"/>
      </w:rPr>
      <w:t>UN Day Lecture 2019</w:t>
    </w:r>
  </w:p>
  <w:p w:rsidR="00E803A2" w:rsidRDefault="00E803A2" w:rsidP="00CB38E5">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1068"/>
    <w:multiLevelType w:val="multilevel"/>
    <w:tmpl w:val="1AE6526C"/>
    <w:lvl w:ilvl="0">
      <w:start w:val="1"/>
      <w:numFmt w:val="decimal"/>
      <w:lvlRestart w:val="0"/>
      <w:pStyle w:val="TablestyleD-level1"/>
      <w:lvlText w:val="%1"/>
      <w:lvlJc w:val="left"/>
      <w:pPr>
        <w:tabs>
          <w:tab w:val="num" w:pos="709"/>
        </w:tabs>
        <w:ind w:left="709" w:hanging="709"/>
      </w:pPr>
      <w:rPr>
        <w:rFonts w:ascii="Tahoma" w:hAnsi="Tahoma" w:cs="Tahoma"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lestyleD-level2"/>
      <w:lvlText w:val="%1.%2"/>
      <w:lvlJc w:val="left"/>
      <w:pPr>
        <w:tabs>
          <w:tab w:val="num" w:pos="709"/>
        </w:tabs>
        <w:ind w:left="709" w:hanging="709"/>
      </w:pPr>
      <w:rPr>
        <w:rFonts w:ascii="Tahoma" w:hAnsi="Tahoma" w:cs="Tahoma" w:hint="default"/>
        <w:b/>
        <w:i w:val="0"/>
        <w:caps w:val="0"/>
        <w:strike w:val="0"/>
        <w:dstrike w:val="0"/>
        <w:vanish w:val="0"/>
        <w:color w:val="auto"/>
        <w:spacing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TablestyleD-level3"/>
      <w:lvlText w:val="(%3)"/>
      <w:lvlJc w:val="left"/>
      <w:pPr>
        <w:tabs>
          <w:tab w:val="num" w:pos="1418"/>
        </w:tabs>
        <w:ind w:left="1418" w:hanging="709"/>
      </w:pPr>
      <w:rPr>
        <w:rFonts w:ascii="Tahoma" w:hAnsi="Tahoma" w:cs="Tahoma" w:hint="default"/>
        <w:b w:val="0"/>
        <w:i w:val="0"/>
        <w:color w:val="auto"/>
        <w:spacing w:val="0"/>
        <w:sz w:val="20"/>
        <w:u w:val="none"/>
      </w:rPr>
    </w:lvl>
    <w:lvl w:ilvl="3">
      <w:start w:val="1"/>
      <w:numFmt w:val="lowerRoman"/>
      <w:pStyle w:val="TablestyleD-level4"/>
      <w:lvlText w:val="(%4)"/>
      <w:lvlJc w:val="left"/>
      <w:pPr>
        <w:tabs>
          <w:tab w:val="num" w:pos="2126"/>
        </w:tabs>
        <w:ind w:left="2126" w:hanging="708"/>
      </w:pPr>
      <w:rPr>
        <w:rFonts w:ascii="Tahoma" w:hAnsi="Tahoma" w:cs="Tahoma" w:hint="default"/>
        <w:b w:val="0"/>
        <w:i w:val="0"/>
        <w:color w:val="auto"/>
        <w:spacing w:val="0"/>
        <w:sz w:val="20"/>
        <w:u w:val="none"/>
      </w:rPr>
    </w:lvl>
    <w:lvl w:ilvl="4">
      <w:start w:val="1"/>
      <w:numFmt w:val="none"/>
      <w:lvlText w:val=""/>
      <w:lvlJc w:val="left"/>
      <w:pPr>
        <w:tabs>
          <w:tab w:val="num" w:pos="3543"/>
        </w:tabs>
        <w:ind w:left="3543" w:hanging="708"/>
      </w:pPr>
      <w:rPr>
        <w:rFonts w:ascii="Tahoma" w:hAnsi="Tahoma" w:cs="Tahoma" w:hint="default"/>
        <w:b w:val="0"/>
        <w:i w:val="0"/>
        <w:color w:val="auto"/>
        <w:spacing w:val="0"/>
        <w:sz w:val="20"/>
        <w:u w:val="none"/>
      </w:rPr>
    </w:lvl>
    <w:lvl w:ilvl="5">
      <w:start w:val="1"/>
      <w:numFmt w:val="none"/>
      <w:lvlText w:val=""/>
      <w:lvlJc w:val="left"/>
      <w:pPr>
        <w:tabs>
          <w:tab w:val="num" w:pos="3543"/>
        </w:tabs>
        <w:ind w:left="3543" w:hanging="708"/>
      </w:pPr>
      <w:rPr>
        <w:rFonts w:ascii="Tahoma" w:hAnsi="Tahoma" w:cs="Tahoma" w:hint="default"/>
        <w:b w:val="0"/>
        <w:i w:val="0"/>
        <w:color w:val="0000FF"/>
        <w:spacing w:val="0"/>
        <w:sz w:val="20"/>
        <w:u w:val="double"/>
      </w:rPr>
    </w:lvl>
    <w:lvl w:ilvl="6">
      <w:start w:val="1"/>
      <w:numFmt w:val="none"/>
      <w:lvlText w:val=""/>
      <w:lvlJc w:val="left"/>
      <w:pPr>
        <w:tabs>
          <w:tab w:val="num" w:pos="4252"/>
        </w:tabs>
        <w:ind w:left="4252" w:hanging="709"/>
      </w:pPr>
      <w:rPr>
        <w:rFonts w:ascii="Tahoma" w:hAnsi="Tahoma" w:cs="Tahoma" w:hint="default"/>
        <w:b w:val="0"/>
        <w:i w:val="0"/>
        <w:color w:val="0000FF"/>
        <w:spacing w:val="0"/>
        <w:sz w:val="20"/>
        <w:u w:val="double"/>
      </w:rPr>
    </w:lvl>
    <w:lvl w:ilvl="7">
      <w:start w:val="1"/>
      <w:numFmt w:val="none"/>
      <w:lvlText w:val=""/>
      <w:lvlJc w:val="left"/>
      <w:pPr>
        <w:tabs>
          <w:tab w:val="num" w:pos="4961"/>
        </w:tabs>
        <w:ind w:left="4961" w:hanging="709"/>
      </w:pPr>
      <w:rPr>
        <w:rFonts w:ascii="Tahoma" w:hAnsi="Tahoma" w:cs="Tahoma" w:hint="default"/>
        <w:b w:val="0"/>
        <w:i w:val="0"/>
        <w:color w:val="0000FF"/>
        <w:spacing w:val="0"/>
        <w:sz w:val="20"/>
        <w:u w:val="double"/>
      </w:rPr>
    </w:lvl>
    <w:lvl w:ilvl="8">
      <w:start w:val="1"/>
      <w:numFmt w:val="none"/>
      <w:lvlText w:val=""/>
      <w:lvlJc w:val="left"/>
      <w:pPr>
        <w:tabs>
          <w:tab w:val="num" w:pos="5669"/>
        </w:tabs>
        <w:ind w:left="5669" w:hanging="708"/>
      </w:pPr>
      <w:rPr>
        <w:rFonts w:ascii="Tahoma" w:hAnsi="Tahoma" w:cs="Tahoma" w:hint="default"/>
        <w:b w:val="0"/>
        <w:i w:val="0"/>
        <w:color w:val="0000FF"/>
        <w:spacing w:val="0"/>
        <w:sz w:val="20"/>
        <w:u w:val="double"/>
      </w:rPr>
    </w:lvl>
  </w:abstractNum>
  <w:abstractNum w:abstractNumId="1" w15:restartNumberingAfterBreak="0">
    <w:nsid w:val="0C152DF7"/>
    <w:multiLevelType w:val="multilevel"/>
    <w:tmpl w:val="33804210"/>
    <w:lvl w:ilvl="0">
      <w:start w:val="1"/>
      <w:numFmt w:val="decimal"/>
      <w:pStyle w:val="Heading1"/>
      <w:lvlText w:val="%1"/>
      <w:lvlJc w:val="left"/>
      <w:pPr>
        <w:tabs>
          <w:tab w:val="num" w:pos="709"/>
        </w:tabs>
        <w:ind w:left="709"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Heading5"/>
      <w:lvlText w:val="(%5)"/>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BA5193"/>
    <w:multiLevelType w:val="hybridMultilevel"/>
    <w:tmpl w:val="7D98C5E4"/>
    <w:lvl w:ilvl="0" w:tplc="51C2140C">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BF560C"/>
    <w:multiLevelType w:val="hybridMultilevel"/>
    <w:tmpl w:val="B97EAB58"/>
    <w:lvl w:ilvl="0" w:tplc="6102FD34">
      <w:start w:val="1"/>
      <w:numFmt w:val="upperLetter"/>
      <w:pStyle w:val="Attachment"/>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B328EE"/>
    <w:multiLevelType w:val="multilevel"/>
    <w:tmpl w:val="83863D4C"/>
    <w:lvl w:ilvl="0">
      <w:start w:val="1"/>
      <w:numFmt w:val="lowerLetter"/>
      <w:lvlText w:val="(%1)"/>
      <w:lvlJc w:val="left"/>
      <w:pPr>
        <w:tabs>
          <w:tab w:val="num" w:pos="709"/>
        </w:tabs>
        <w:ind w:left="709" w:hanging="709"/>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lvl w:ilvl="1">
      <w:start w:val="1"/>
      <w:numFmt w:val="lowerRoman"/>
      <w:lvlText w:val="(%2)"/>
      <w:lvlJc w:val="left"/>
      <w:pPr>
        <w:tabs>
          <w:tab w:val="num" w:pos="709"/>
        </w:tabs>
        <w:ind w:left="1417" w:hanging="708"/>
      </w:pPr>
      <w:rPr>
        <w:rFonts w:ascii="Tahoma" w:hAnsi="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imes New Roman"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abstractNum>
  <w:abstractNum w:abstractNumId="6" w15:restartNumberingAfterBreak="0">
    <w:nsid w:val="49E527A3"/>
    <w:multiLevelType w:val="multilevel"/>
    <w:tmpl w:val="EB664856"/>
    <w:lvl w:ilvl="0">
      <w:start w:val="1"/>
      <w:numFmt w:val="lowerLetter"/>
      <w:lvlText w:val="(%1)"/>
      <w:lvlJc w:val="left"/>
      <w:pPr>
        <w:tabs>
          <w:tab w:val="num" w:pos="709"/>
        </w:tabs>
        <w:ind w:left="709" w:hanging="709"/>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lvl w:ilvl="1">
      <w:start w:val="1"/>
      <w:numFmt w:val="lowerRoman"/>
      <w:lvlText w:val="(%2)"/>
      <w:lvlJc w:val="left"/>
      <w:pPr>
        <w:tabs>
          <w:tab w:val="num" w:pos="709"/>
        </w:tabs>
        <w:ind w:left="1417" w:hanging="708"/>
      </w:pPr>
      <w:rPr>
        <w:rFonts w:ascii="Tahoma" w:hAnsi="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imes New Roman"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abstractNum>
  <w:abstractNum w:abstractNumId="7" w15:restartNumberingAfterBreak="0">
    <w:nsid w:val="4C330E61"/>
    <w:multiLevelType w:val="multilevel"/>
    <w:tmpl w:val="3EEC6016"/>
    <w:lvl w:ilvl="0">
      <w:start w:val="1"/>
      <w:numFmt w:val="lowerLetter"/>
      <w:lvlText w:val="(%1)"/>
      <w:lvlJc w:val="left"/>
      <w:pPr>
        <w:tabs>
          <w:tab w:val="num" w:pos="709"/>
        </w:tabs>
        <w:ind w:left="709" w:hanging="709"/>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lvl w:ilvl="1">
      <w:start w:val="1"/>
      <w:numFmt w:val="lowerRoman"/>
      <w:lvlText w:val="(%2)"/>
      <w:lvlJc w:val="left"/>
      <w:pPr>
        <w:tabs>
          <w:tab w:val="num" w:pos="709"/>
        </w:tabs>
        <w:ind w:left="1417" w:hanging="708"/>
      </w:pPr>
      <w:rPr>
        <w:rFonts w:ascii="Tahoma" w:hAnsi="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imes New Roman"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abstractNum>
  <w:abstractNum w:abstractNumId="8" w15:restartNumberingAfterBreak="0">
    <w:nsid w:val="56374B3D"/>
    <w:multiLevelType w:val="hybridMultilevel"/>
    <w:tmpl w:val="471C63A0"/>
    <w:lvl w:ilvl="0" w:tplc="A6128C68">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AB005C"/>
    <w:multiLevelType w:val="multilevel"/>
    <w:tmpl w:val="6EFEA572"/>
    <w:lvl w:ilvl="0">
      <w:start w:val="1"/>
      <w:numFmt w:val="decimal"/>
      <w:pStyle w:val="TablestyleB-level1"/>
      <w:lvlText w:val="%1"/>
      <w:lvlJc w:val="left"/>
      <w:pPr>
        <w:tabs>
          <w:tab w:val="num" w:pos="567"/>
        </w:tabs>
        <w:ind w:left="567" w:hanging="567"/>
      </w:pPr>
      <w:rPr>
        <w:rFonts w:ascii="Tahoma" w:hAnsi="Tahoma" w:hint="default"/>
        <w:b w:val="0"/>
        <w:i w:val="0"/>
        <w:sz w:val="20"/>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10" w15:restartNumberingAfterBreak="0">
    <w:nsid w:val="6A231C60"/>
    <w:multiLevelType w:val="multilevel"/>
    <w:tmpl w:val="E6FA89AE"/>
    <w:lvl w:ilvl="0">
      <w:start w:val="1"/>
      <w:numFmt w:val="decimal"/>
      <w:pStyle w:val="ScheduleStandard1"/>
      <w:lvlText w:val="%1"/>
      <w:lvlJc w:val="left"/>
      <w:pPr>
        <w:tabs>
          <w:tab w:val="num" w:pos="709"/>
        </w:tabs>
        <w:ind w:left="709" w:hanging="709"/>
      </w:pPr>
      <w:rPr>
        <w:rFonts w:ascii="Tahoma" w:hAnsi="Tahoma" w:hint="default"/>
        <w:b w:val="0"/>
        <w:i w:val="0"/>
        <w:sz w:val="20"/>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11" w15:restartNumberingAfterBreak="0">
    <w:nsid w:val="6C2C11B1"/>
    <w:multiLevelType w:val="multilevel"/>
    <w:tmpl w:val="BB506CD8"/>
    <w:lvl w:ilvl="0">
      <w:start w:val="1"/>
      <w:numFmt w:val="decimal"/>
      <w:lvlRestart w:val="0"/>
      <w:pStyle w:val="TablestyleC-level1"/>
      <w:lvlText w:val="%1"/>
      <w:lvlJc w:val="left"/>
      <w:pPr>
        <w:tabs>
          <w:tab w:val="num" w:pos="709"/>
        </w:tabs>
        <w:ind w:left="709" w:hanging="709"/>
      </w:pPr>
      <w:rPr>
        <w:rFonts w:ascii="Tahoma" w:hAnsi="Tahoma" w:hint="default"/>
        <w:b w:val="0"/>
        <w:i w:val="0"/>
        <w:sz w:val="20"/>
      </w:rPr>
    </w:lvl>
    <w:lvl w:ilvl="1">
      <w:start w:val="1"/>
      <w:numFmt w:val="decimal"/>
      <w:pStyle w:val="TablestyleC-level2"/>
      <w:lvlText w:val="%1.%2"/>
      <w:lvlJc w:val="left"/>
      <w:pPr>
        <w:tabs>
          <w:tab w:val="num" w:pos="709"/>
        </w:tabs>
        <w:ind w:left="709" w:hanging="709"/>
      </w:pPr>
      <w:rPr>
        <w:rFonts w:ascii="Tahoma" w:hAnsi="Tahoma" w:hint="default"/>
        <w:b w:val="0"/>
        <w:i w:val="0"/>
        <w:sz w:val="20"/>
      </w:rPr>
    </w:lvl>
    <w:lvl w:ilvl="2">
      <w:start w:val="1"/>
      <w:numFmt w:val="lowerLetter"/>
      <w:pStyle w:val="TablestyleC-level3"/>
      <w:lvlText w:val="(%3)"/>
      <w:lvlJc w:val="left"/>
      <w:pPr>
        <w:tabs>
          <w:tab w:val="num" w:pos="1418"/>
        </w:tabs>
        <w:ind w:left="1418" w:hanging="709"/>
      </w:pPr>
      <w:rPr>
        <w:rFonts w:ascii="Tahoma" w:hAnsi="Tahoma" w:hint="default"/>
        <w:b w:val="0"/>
        <w:i w:val="0"/>
        <w:sz w:val="20"/>
      </w:rPr>
    </w:lvl>
    <w:lvl w:ilvl="3">
      <w:start w:val="1"/>
      <w:numFmt w:val="lowerRoman"/>
      <w:pStyle w:val="TablestyleC-level4"/>
      <w:lvlText w:val="(%4)"/>
      <w:lvlJc w:val="left"/>
      <w:pPr>
        <w:tabs>
          <w:tab w:val="num" w:pos="2126"/>
        </w:tabs>
        <w:ind w:left="2126" w:hanging="708"/>
      </w:pPr>
      <w:rPr>
        <w:rFonts w:ascii="Tahoma" w:hAnsi="Tahoma" w:hint="default"/>
        <w:b w:val="0"/>
        <w:i w:val="0"/>
        <w:sz w:val="20"/>
      </w:rPr>
    </w:lvl>
    <w:lvl w:ilvl="4">
      <w:start w:val="1"/>
      <w:numFmt w:val="none"/>
      <w:lvlText w:val=""/>
      <w:lvlJc w:val="left"/>
      <w:pPr>
        <w:tabs>
          <w:tab w:val="num" w:pos="3543"/>
        </w:tabs>
        <w:ind w:left="3543" w:hanging="708"/>
      </w:pPr>
      <w:rPr>
        <w:rFonts w:ascii="Tahoma" w:hAnsi="Tahoma" w:hint="default"/>
        <w:b w:val="0"/>
        <w:i w:val="0"/>
        <w:sz w:val="20"/>
      </w:rPr>
    </w:lvl>
    <w:lvl w:ilvl="5">
      <w:start w:val="1"/>
      <w:numFmt w:val="none"/>
      <w:lvlText w:val=""/>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12" w15:restartNumberingAfterBreak="0">
    <w:nsid w:val="6C8F789F"/>
    <w:multiLevelType w:val="multilevel"/>
    <w:tmpl w:val="9BB8552E"/>
    <w:lvl w:ilvl="0">
      <w:start w:val="1"/>
      <w:numFmt w:val="decimal"/>
      <w:pStyle w:val="ScheduleFormal1"/>
      <w:lvlText w:val="%1"/>
      <w:lvlJc w:val="left"/>
      <w:pPr>
        <w:tabs>
          <w:tab w:val="num" w:pos="709"/>
        </w:tabs>
        <w:ind w:left="709" w:hanging="709"/>
      </w:pPr>
      <w:rPr>
        <w:rFonts w:ascii="Tahoma" w:hAnsi="Tahoma" w:hint="default"/>
        <w:b/>
        <w:i w:val="0"/>
        <w:sz w:val="24"/>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8"/>
        </w:tabs>
        <w:ind w:left="1418" w:hanging="709"/>
      </w:pPr>
      <w:rPr>
        <w:rFonts w:ascii="Tahoma" w:hAnsi="Tahoma" w:hint="default"/>
        <w:b w:val="0"/>
        <w:i w:val="0"/>
        <w:sz w:val="20"/>
      </w:rPr>
    </w:lvl>
    <w:lvl w:ilvl="3">
      <w:start w:val="1"/>
      <w:numFmt w:val="lowerRoman"/>
      <w:pStyle w:val="ScheduleFormal4"/>
      <w:lvlText w:val="(%4)"/>
      <w:lvlJc w:val="left"/>
      <w:pPr>
        <w:tabs>
          <w:tab w:val="num" w:pos="2126"/>
        </w:tabs>
        <w:ind w:left="2126" w:hanging="708"/>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abstractNum w:abstractNumId="13" w15:restartNumberingAfterBreak="0">
    <w:nsid w:val="72A45651"/>
    <w:multiLevelType w:val="hybridMultilevel"/>
    <w:tmpl w:val="FC40DCCC"/>
    <w:lvl w:ilvl="0" w:tplc="452626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22608E"/>
    <w:multiLevelType w:val="hybridMultilevel"/>
    <w:tmpl w:val="A4641AD0"/>
    <w:lvl w:ilvl="0" w:tplc="AF6096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F33CC8"/>
    <w:multiLevelType w:val="multilevel"/>
    <w:tmpl w:val="5D2E38AE"/>
    <w:lvl w:ilvl="0">
      <w:start w:val="1"/>
      <w:numFmt w:val="lowerLetter"/>
      <w:lvlText w:val="(%1)"/>
      <w:lvlJc w:val="left"/>
      <w:pPr>
        <w:tabs>
          <w:tab w:val="num" w:pos="709"/>
        </w:tabs>
        <w:ind w:left="709" w:hanging="709"/>
      </w:pPr>
      <w:rPr>
        <w:rFonts w:ascii="Tahoma" w:hAnsi="Tahoma" w:hint="default"/>
        <w:b w:val="0"/>
        <w:i w:val="0"/>
        <w:caps w:val="0"/>
        <w:strike w:val="0"/>
        <w:dstrike w:val="0"/>
        <w:outline w:val="0"/>
        <w:shadow w:val="0"/>
        <w:emboss w:val="0"/>
        <w:imprint w:val="0"/>
        <w:vanish w:val="0"/>
        <w:color w:val="auto"/>
        <w:sz w:val="20"/>
        <w:u w:val="none"/>
        <w:effect w:val="none"/>
        <w:vertAlign w:val="baseline"/>
      </w:rPr>
    </w:lvl>
    <w:lvl w:ilvl="1">
      <w:start w:val="1"/>
      <w:numFmt w:val="lowerRoman"/>
      <w:lvlText w:val="(%2)"/>
      <w:lvlJc w:val="left"/>
      <w:pPr>
        <w:tabs>
          <w:tab w:val="num" w:pos="709"/>
        </w:tabs>
        <w:ind w:left="1417" w:hanging="708"/>
      </w:pPr>
      <w:rPr>
        <w:rFonts w:ascii="Tahoma" w:hAnsi="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imes New Roman"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abstractNum>
  <w:abstractNum w:abstractNumId="16" w15:restartNumberingAfterBreak="0">
    <w:nsid w:val="7EAB4882"/>
    <w:multiLevelType w:val="multilevel"/>
    <w:tmpl w:val="F84072AA"/>
    <w:lvl w:ilvl="0">
      <w:start w:val="1"/>
      <w:numFmt w:val="lowerLetter"/>
      <w:lvlText w:val="(%1)"/>
      <w:lvlJc w:val="left"/>
      <w:pPr>
        <w:tabs>
          <w:tab w:val="num" w:pos="709"/>
        </w:tabs>
        <w:ind w:left="709" w:hanging="709"/>
      </w:pPr>
      <w:rPr>
        <w:rFonts w:ascii="Tahoma" w:hAnsi="Tahoma" w:hint="default"/>
        <w:b w:val="0"/>
        <w:i w:val="0"/>
        <w:caps w:val="0"/>
        <w:strike w:val="0"/>
        <w:dstrike w:val="0"/>
        <w:outline w:val="0"/>
        <w:shadow w:val="0"/>
        <w:emboss w:val="0"/>
        <w:imprint w:val="0"/>
        <w:vanish w:val="0"/>
        <w:color w:val="auto"/>
        <w:sz w:val="18"/>
        <w:szCs w:val="18"/>
        <w:u w:val="none"/>
        <w:effect w:val="none"/>
        <w:vertAlign w:val="baseline"/>
      </w:rPr>
    </w:lvl>
    <w:lvl w:ilvl="1">
      <w:start w:val="1"/>
      <w:numFmt w:val="lowerRoman"/>
      <w:lvlText w:val="(%2)"/>
      <w:lvlJc w:val="left"/>
      <w:pPr>
        <w:tabs>
          <w:tab w:val="num" w:pos="709"/>
        </w:tabs>
        <w:ind w:left="1417" w:hanging="708"/>
      </w:pPr>
      <w:rPr>
        <w:rFonts w:ascii="Tahoma" w:hAnsi="Tahoma"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cs="Times New Roman" w:hint="default"/>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outline w:val="0"/>
        <w:shadow w:val="0"/>
        <w:emboss w:val="0"/>
        <w:imprint w:val="0"/>
        <w:vanish w:val="0"/>
        <w:color w:val="auto"/>
        <w:sz w:val="20"/>
        <w:u w:val="none"/>
        <w:effect w:val="none"/>
        <w:vertAlign w:val="baseline"/>
      </w:rPr>
    </w:lvl>
  </w:abstractNum>
  <w:num w:numId="1">
    <w:abstractNumId w:val="8"/>
  </w:num>
  <w:num w:numId="2">
    <w:abstractNumId w:val="7"/>
  </w:num>
  <w:num w:numId="3">
    <w:abstractNumId w:val="4"/>
  </w:num>
  <w:num w:numId="4">
    <w:abstractNumId w:val="2"/>
  </w:num>
  <w:num w:numId="5">
    <w:abstractNumId w:val="11"/>
  </w:num>
  <w:num w:numId="6">
    <w:abstractNumId w:val="0"/>
  </w:num>
  <w:num w:numId="7">
    <w:abstractNumId w:val="12"/>
  </w:num>
  <w:num w:numId="8">
    <w:abstractNumId w:val="10"/>
  </w:num>
  <w:num w:numId="9">
    <w:abstractNumId w:val="6"/>
  </w:num>
  <w:num w:numId="10">
    <w:abstractNumId w:val="3"/>
  </w:num>
  <w:num w:numId="11">
    <w:abstractNumId w:val="1"/>
  </w:num>
  <w:num w:numId="12">
    <w:abstractNumId w:val="9"/>
  </w:num>
  <w:num w:numId="13">
    <w:abstractNumId w:val="15"/>
  </w:num>
  <w:num w:numId="14">
    <w:abstractNumId w:val="5"/>
  </w:num>
  <w:num w:numId="15">
    <w:abstractNumId w:val="13"/>
  </w:num>
  <w:num w:numId="16">
    <w:abstractNumId w:val="16"/>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9"/>
    <w:rsid w:val="00000368"/>
    <w:rsid w:val="000139D8"/>
    <w:rsid w:val="00016170"/>
    <w:rsid w:val="0002066D"/>
    <w:rsid w:val="000312F8"/>
    <w:rsid w:val="00032C2C"/>
    <w:rsid w:val="000335FE"/>
    <w:rsid w:val="00035337"/>
    <w:rsid w:val="000358B4"/>
    <w:rsid w:val="0005244E"/>
    <w:rsid w:val="00052488"/>
    <w:rsid w:val="00057A9D"/>
    <w:rsid w:val="00067A5C"/>
    <w:rsid w:val="00077EAC"/>
    <w:rsid w:val="000821E7"/>
    <w:rsid w:val="00085C77"/>
    <w:rsid w:val="000866A6"/>
    <w:rsid w:val="000866DD"/>
    <w:rsid w:val="00090FF4"/>
    <w:rsid w:val="00092949"/>
    <w:rsid w:val="00093A5D"/>
    <w:rsid w:val="00096E32"/>
    <w:rsid w:val="000A7043"/>
    <w:rsid w:val="000B2084"/>
    <w:rsid w:val="000C5DCF"/>
    <w:rsid w:val="000D3FBC"/>
    <w:rsid w:val="000E1672"/>
    <w:rsid w:val="000E2CE9"/>
    <w:rsid w:val="000E4063"/>
    <w:rsid w:val="000F1482"/>
    <w:rsid w:val="000F4310"/>
    <w:rsid w:val="00102B2F"/>
    <w:rsid w:val="00113CC2"/>
    <w:rsid w:val="00115847"/>
    <w:rsid w:val="00117AB0"/>
    <w:rsid w:val="00124801"/>
    <w:rsid w:val="001346F7"/>
    <w:rsid w:val="001400EC"/>
    <w:rsid w:val="00140842"/>
    <w:rsid w:val="00142D0A"/>
    <w:rsid w:val="00142D3B"/>
    <w:rsid w:val="00143576"/>
    <w:rsid w:val="0015656D"/>
    <w:rsid w:val="001601E3"/>
    <w:rsid w:val="00173272"/>
    <w:rsid w:val="00177C2E"/>
    <w:rsid w:val="00187F37"/>
    <w:rsid w:val="00191E57"/>
    <w:rsid w:val="00197AC1"/>
    <w:rsid w:val="001A1F28"/>
    <w:rsid w:val="001B2618"/>
    <w:rsid w:val="001B2C75"/>
    <w:rsid w:val="001B7461"/>
    <w:rsid w:val="001C0764"/>
    <w:rsid w:val="001C4B97"/>
    <w:rsid w:val="001C609A"/>
    <w:rsid w:val="001C6D94"/>
    <w:rsid w:val="001D0A79"/>
    <w:rsid w:val="001D1D01"/>
    <w:rsid w:val="001D2D46"/>
    <w:rsid w:val="001E1D25"/>
    <w:rsid w:val="001E51F4"/>
    <w:rsid w:val="001E6478"/>
    <w:rsid w:val="001E7ED3"/>
    <w:rsid w:val="001F24A5"/>
    <w:rsid w:val="001F7BAE"/>
    <w:rsid w:val="0021166F"/>
    <w:rsid w:val="00214610"/>
    <w:rsid w:val="00217DAD"/>
    <w:rsid w:val="00222FDB"/>
    <w:rsid w:val="0022598E"/>
    <w:rsid w:val="00233E2E"/>
    <w:rsid w:val="00245716"/>
    <w:rsid w:val="00245D0B"/>
    <w:rsid w:val="00246483"/>
    <w:rsid w:val="00250805"/>
    <w:rsid w:val="0025117A"/>
    <w:rsid w:val="00252923"/>
    <w:rsid w:val="00255B6C"/>
    <w:rsid w:val="002579C2"/>
    <w:rsid w:val="002626FE"/>
    <w:rsid w:val="00281DA6"/>
    <w:rsid w:val="00284123"/>
    <w:rsid w:val="00297005"/>
    <w:rsid w:val="002A570D"/>
    <w:rsid w:val="002A5ED8"/>
    <w:rsid w:val="002B08A2"/>
    <w:rsid w:val="002C762A"/>
    <w:rsid w:val="002E0940"/>
    <w:rsid w:val="002F381C"/>
    <w:rsid w:val="00305CB2"/>
    <w:rsid w:val="00312779"/>
    <w:rsid w:val="003142E7"/>
    <w:rsid w:val="00322ED2"/>
    <w:rsid w:val="00327AA2"/>
    <w:rsid w:val="0033596C"/>
    <w:rsid w:val="00337DE2"/>
    <w:rsid w:val="00343E62"/>
    <w:rsid w:val="0034483B"/>
    <w:rsid w:val="00350C5B"/>
    <w:rsid w:val="0037070D"/>
    <w:rsid w:val="00370C4D"/>
    <w:rsid w:val="00372FA3"/>
    <w:rsid w:val="00374C4E"/>
    <w:rsid w:val="00375133"/>
    <w:rsid w:val="0037521A"/>
    <w:rsid w:val="00385B9B"/>
    <w:rsid w:val="00386347"/>
    <w:rsid w:val="00387044"/>
    <w:rsid w:val="003905D1"/>
    <w:rsid w:val="00392A86"/>
    <w:rsid w:val="00396379"/>
    <w:rsid w:val="00396F3A"/>
    <w:rsid w:val="003B5A0A"/>
    <w:rsid w:val="003B6C76"/>
    <w:rsid w:val="003C5FE3"/>
    <w:rsid w:val="003D6BBB"/>
    <w:rsid w:val="003D7383"/>
    <w:rsid w:val="003E2117"/>
    <w:rsid w:val="003E5063"/>
    <w:rsid w:val="003F3679"/>
    <w:rsid w:val="003F65F7"/>
    <w:rsid w:val="00404FF0"/>
    <w:rsid w:val="0041646B"/>
    <w:rsid w:val="004205A4"/>
    <w:rsid w:val="00420CAD"/>
    <w:rsid w:val="0044018B"/>
    <w:rsid w:val="00441CCA"/>
    <w:rsid w:val="0044305F"/>
    <w:rsid w:val="004455A0"/>
    <w:rsid w:val="00474C10"/>
    <w:rsid w:val="00491C97"/>
    <w:rsid w:val="004A1622"/>
    <w:rsid w:val="004A208C"/>
    <w:rsid w:val="004A3098"/>
    <w:rsid w:val="004A6850"/>
    <w:rsid w:val="004A7695"/>
    <w:rsid w:val="004B1D8E"/>
    <w:rsid w:val="004B2935"/>
    <w:rsid w:val="004D0F52"/>
    <w:rsid w:val="004D66DA"/>
    <w:rsid w:val="004D6E08"/>
    <w:rsid w:val="004E1A69"/>
    <w:rsid w:val="004E4E42"/>
    <w:rsid w:val="004E5B29"/>
    <w:rsid w:val="004F1B49"/>
    <w:rsid w:val="004F20CF"/>
    <w:rsid w:val="00510B29"/>
    <w:rsid w:val="00511531"/>
    <w:rsid w:val="005314A9"/>
    <w:rsid w:val="00542AF6"/>
    <w:rsid w:val="00551D2D"/>
    <w:rsid w:val="00552908"/>
    <w:rsid w:val="00555088"/>
    <w:rsid w:val="0057066A"/>
    <w:rsid w:val="00572852"/>
    <w:rsid w:val="005844AE"/>
    <w:rsid w:val="005941EB"/>
    <w:rsid w:val="005A311A"/>
    <w:rsid w:val="005C4568"/>
    <w:rsid w:val="005C63CE"/>
    <w:rsid w:val="005C7144"/>
    <w:rsid w:val="005D139C"/>
    <w:rsid w:val="005E79C3"/>
    <w:rsid w:val="005F2ABD"/>
    <w:rsid w:val="005F3FFA"/>
    <w:rsid w:val="00601870"/>
    <w:rsid w:val="00610E4D"/>
    <w:rsid w:val="0062255B"/>
    <w:rsid w:val="00626679"/>
    <w:rsid w:val="00637256"/>
    <w:rsid w:val="0063785F"/>
    <w:rsid w:val="006435B1"/>
    <w:rsid w:val="006445FB"/>
    <w:rsid w:val="00645B02"/>
    <w:rsid w:val="00670D04"/>
    <w:rsid w:val="006737EA"/>
    <w:rsid w:val="00694AFC"/>
    <w:rsid w:val="006A0405"/>
    <w:rsid w:val="006A64E8"/>
    <w:rsid w:val="006B24AA"/>
    <w:rsid w:val="006B5CCE"/>
    <w:rsid w:val="006B7194"/>
    <w:rsid w:val="006C11DD"/>
    <w:rsid w:val="006C35AC"/>
    <w:rsid w:val="006C4D8F"/>
    <w:rsid w:val="006C59CA"/>
    <w:rsid w:val="006D0FAD"/>
    <w:rsid w:val="006D4C9D"/>
    <w:rsid w:val="006D7FD1"/>
    <w:rsid w:val="006E4CBB"/>
    <w:rsid w:val="006E58F2"/>
    <w:rsid w:val="006F1103"/>
    <w:rsid w:val="006F1401"/>
    <w:rsid w:val="006F1F2C"/>
    <w:rsid w:val="006F4A1D"/>
    <w:rsid w:val="007053F6"/>
    <w:rsid w:val="00710577"/>
    <w:rsid w:val="0071715D"/>
    <w:rsid w:val="007202DA"/>
    <w:rsid w:val="007243EE"/>
    <w:rsid w:val="00725951"/>
    <w:rsid w:val="00732B93"/>
    <w:rsid w:val="00737CB2"/>
    <w:rsid w:val="00741306"/>
    <w:rsid w:val="007435E7"/>
    <w:rsid w:val="0075174E"/>
    <w:rsid w:val="00762C08"/>
    <w:rsid w:val="00770B4A"/>
    <w:rsid w:val="00775C2C"/>
    <w:rsid w:val="00776AC6"/>
    <w:rsid w:val="007922FE"/>
    <w:rsid w:val="007A02AB"/>
    <w:rsid w:val="007A590B"/>
    <w:rsid w:val="007B7774"/>
    <w:rsid w:val="007C7280"/>
    <w:rsid w:val="007E3DCC"/>
    <w:rsid w:val="007E72F5"/>
    <w:rsid w:val="007F5437"/>
    <w:rsid w:val="008035DE"/>
    <w:rsid w:val="00803FE6"/>
    <w:rsid w:val="00804D4F"/>
    <w:rsid w:val="0081604D"/>
    <w:rsid w:val="008161E8"/>
    <w:rsid w:val="00821538"/>
    <w:rsid w:val="00833230"/>
    <w:rsid w:val="00843AE5"/>
    <w:rsid w:val="00844385"/>
    <w:rsid w:val="00874E3C"/>
    <w:rsid w:val="00875076"/>
    <w:rsid w:val="008766AC"/>
    <w:rsid w:val="00882F0F"/>
    <w:rsid w:val="0089281C"/>
    <w:rsid w:val="008979CB"/>
    <w:rsid w:val="008A7EE3"/>
    <w:rsid w:val="008B0876"/>
    <w:rsid w:val="008B1225"/>
    <w:rsid w:val="008B6398"/>
    <w:rsid w:val="008C69E3"/>
    <w:rsid w:val="008E0A7B"/>
    <w:rsid w:val="008E6F0B"/>
    <w:rsid w:val="008E7FC8"/>
    <w:rsid w:val="008F39A5"/>
    <w:rsid w:val="008F7B51"/>
    <w:rsid w:val="00906A2E"/>
    <w:rsid w:val="00907175"/>
    <w:rsid w:val="00927DDE"/>
    <w:rsid w:val="00935A4B"/>
    <w:rsid w:val="00941491"/>
    <w:rsid w:val="00957B67"/>
    <w:rsid w:val="00961A79"/>
    <w:rsid w:val="00962B9A"/>
    <w:rsid w:val="0096695E"/>
    <w:rsid w:val="00967ED2"/>
    <w:rsid w:val="0097283E"/>
    <w:rsid w:val="0097592B"/>
    <w:rsid w:val="00980575"/>
    <w:rsid w:val="00982F67"/>
    <w:rsid w:val="00986F47"/>
    <w:rsid w:val="0099070F"/>
    <w:rsid w:val="00993DCD"/>
    <w:rsid w:val="00996160"/>
    <w:rsid w:val="009A44D0"/>
    <w:rsid w:val="009B55C1"/>
    <w:rsid w:val="009C6381"/>
    <w:rsid w:val="009D75FC"/>
    <w:rsid w:val="00A248A8"/>
    <w:rsid w:val="00A325D8"/>
    <w:rsid w:val="00A335DF"/>
    <w:rsid w:val="00A52829"/>
    <w:rsid w:val="00A61BCE"/>
    <w:rsid w:val="00A67F1C"/>
    <w:rsid w:val="00A77422"/>
    <w:rsid w:val="00A85572"/>
    <w:rsid w:val="00A913C1"/>
    <w:rsid w:val="00A954F4"/>
    <w:rsid w:val="00AA0549"/>
    <w:rsid w:val="00AA0848"/>
    <w:rsid w:val="00AB3834"/>
    <w:rsid w:val="00AB4079"/>
    <w:rsid w:val="00AB4301"/>
    <w:rsid w:val="00AC65BA"/>
    <w:rsid w:val="00AD4F3B"/>
    <w:rsid w:val="00AE1DFE"/>
    <w:rsid w:val="00AF073F"/>
    <w:rsid w:val="00B003AA"/>
    <w:rsid w:val="00B15B94"/>
    <w:rsid w:val="00B21ECE"/>
    <w:rsid w:val="00B21FF2"/>
    <w:rsid w:val="00B24337"/>
    <w:rsid w:val="00B3493A"/>
    <w:rsid w:val="00B4044C"/>
    <w:rsid w:val="00B418FA"/>
    <w:rsid w:val="00B44C7E"/>
    <w:rsid w:val="00B5109A"/>
    <w:rsid w:val="00B57A61"/>
    <w:rsid w:val="00B62D84"/>
    <w:rsid w:val="00B656D2"/>
    <w:rsid w:val="00B70FD4"/>
    <w:rsid w:val="00B812F8"/>
    <w:rsid w:val="00B83888"/>
    <w:rsid w:val="00B970DF"/>
    <w:rsid w:val="00BA54A7"/>
    <w:rsid w:val="00BA5D09"/>
    <w:rsid w:val="00BA688D"/>
    <w:rsid w:val="00BB1A44"/>
    <w:rsid w:val="00BD0E8B"/>
    <w:rsid w:val="00BE1DD6"/>
    <w:rsid w:val="00BE2BB9"/>
    <w:rsid w:val="00BE46BF"/>
    <w:rsid w:val="00BE669D"/>
    <w:rsid w:val="00BF4334"/>
    <w:rsid w:val="00C00BE2"/>
    <w:rsid w:val="00C01BD0"/>
    <w:rsid w:val="00C11F9D"/>
    <w:rsid w:val="00C21A05"/>
    <w:rsid w:val="00C2496F"/>
    <w:rsid w:val="00C32BC5"/>
    <w:rsid w:val="00C53D6D"/>
    <w:rsid w:val="00C5431A"/>
    <w:rsid w:val="00C6256F"/>
    <w:rsid w:val="00C6268E"/>
    <w:rsid w:val="00C670DC"/>
    <w:rsid w:val="00C75D92"/>
    <w:rsid w:val="00C77DF3"/>
    <w:rsid w:val="00C77F34"/>
    <w:rsid w:val="00CA4EEB"/>
    <w:rsid w:val="00CA7910"/>
    <w:rsid w:val="00CB38E5"/>
    <w:rsid w:val="00CB3F67"/>
    <w:rsid w:val="00CD02A5"/>
    <w:rsid w:val="00CE0642"/>
    <w:rsid w:val="00CE2A7A"/>
    <w:rsid w:val="00CE5114"/>
    <w:rsid w:val="00CF2DF0"/>
    <w:rsid w:val="00D00065"/>
    <w:rsid w:val="00D022C8"/>
    <w:rsid w:val="00D16D86"/>
    <w:rsid w:val="00D17510"/>
    <w:rsid w:val="00D311F3"/>
    <w:rsid w:val="00D33100"/>
    <w:rsid w:val="00D365FA"/>
    <w:rsid w:val="00D43001"/>
    <w:rsid w:val="00D43160"/>
    <w:rsid w:val="00D6654F"/>
    <w:rsid w:val="00D66FA6"/>
    <w:rsid w:val="00D707D0"/>
    <w:rsid w:val="00D71AE1"/>
    <w:rsid w:val="00D81D4A"/>
    <w:rsid w:val="00D873C3"/>
    <w:rsid w:val="00D9705E"/>
    <w:rsid w:val="00D9729B"/>
    <w:rsid w:val="00DA3FB4"/>
    <w:rsid w:val="00DB0AA1"/>
    <w:rsid w:val="00DC354A"/>
    <w:rsid w:val="00DC41F0"/>
    <w:rsid w:val="00DD0F96"/>
    <w:rsid w:val="00DD5CE0"/>
    <w:rsid w:val="00DD65CA"/>
    <w:rsid w:val="00DD6EAD"/>
    <w:rsid w:val="00DE727A"/>
    <w:rsid w:val="00DF77F0"/>
    <w:rsid w:val="00E20ABB"/>
    <w:rsid w:val="00E24ED7"/>
    <w:rsid w:val="00E25930"/>
    <w:rsid w:val="00E3164A"/>
    <w:rsid w:val="00E31E6D"/>
    <w:rsid w:val="00E506D3"/>
    <w:rsid w:val="00E60F0F"/>
    <w:rsid w:val="00E62D25"/>
    <w:rsid w:val="00E803A2"/>
    <w:rsid w:val="00E85898"/>
    <w:rsid w:val="00E9168F"/>
    <w:rsid w:val="00EA36B2"/>
    <w:rsid w:val="00EB099D"/>
    <w:rsid w:val="00EB1D75"/>
    <w:rsid w:val="00EB5433"/>
    <w:rsid w:val="00EC0A0A"/>
    <w:rsid w:val="00EC7486"/>
    <w:rsid w:val="00EC7808"/>
    <w:rsid w:val="00ED26FF"/>
    <w:rsid w:val="00ED2A85"/>
    <w:rsid w:val="00EE00C3"/>
    <w:rsid w:val="00EE1F4F"/>
    <w:rsid w:val="00EE6182"/>
    <w:rsid w:val="00F01820"/>
    <w:rsid w:val="00F01B5A"/>
    <w:rsid w:val="00F0219C"/>
    <w:rsid w:val="00F04F83"/>
    <w:rsid w:val="00F1023B"/>
    <w:rsid w:val="00F1333E"/>
    <w:rsid w:val="00F22368"/>
    <w:rsid w:val="00F23968"/>
    <w:rsid w:val="00F4182A"/>
    <w:rsid w:val="00F54558"/>
    <w:rsid w:val="00F566A3"/>
    <w:rsid w:val="00F63D42"/>
    <w:rsid w:val="00F6582E"/>
    <w:rsid w:val="00F719C8"/>
    <w:rsid w:val="00F77084"/>
    <w:rsid w:val="00F860BC"/>
    <w:rsid w:val="00F90ADC"/>
    <w:rsid w:val="00F912AC"/>
    <w:rsid w:val="00F92080"/>
    <w:rsid w:val="00FB0AD1"/>
    <w:rsid w:val="00FB5DE3"/>
    <w:rsid w:val="00FC517A"/>
    <w:rsid w:val="00FD127B"/>
    <w:rsid w:val="00FD2D7A"/>
    <w:rsid w:val="00FD70F2"/>
    <w:rsid w:val="00FD72B2"/>
    <w:rsid w:val="00FE2489"/>
    <w:rsid w:val="00FF3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DEDC1B"/>
  <w15:docId w15:val="{2C591B02-352D-41C2-B744-63FA4534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E5"/>
    <w:rPr>
      <w:rFonts w:ascii="Tahoma" w:hAnsi="Tahoma"/>
      <w:szCs w:val="24"/>
      <w:lang w:eastAsia="en-US"/>
    </w:rPr>
  </w:style>
  <w:style w:type="paragraph" w:styleId="Heading1">
    <w:name w:val="heading 1"/>
    <w:basedOn w:val="Normal"/>
    <w:qFormat/>
    <w:rsid w:val="00CB38E5"/>
    <w:pPr>
      <w:numPr>
        <w:numId w:val="11"/>
      </w:numPr>
      <w:spacing w:before="240"/>
      <w:outlineLvl w:val="0"/>
    </w:pPr>
    <w:rPr>
      <w:rFonts w:cs="Arial"/>
      <w:bCs/>
      <w:szCs w:val="32"/>
    </w:rPr>
  </w:style>
  <w:style w:type="paragraph" w:styleId="Heading2">
    <w:name w:val="heading 2"/>
    <w:basedOn w:val="Normal"/>
    <w:qFormat/>
    <w:rsid w:val="00CB38E5"/>
    <w:pPr>
      <w:numPr>
        <w:ilvl w:val="1"/>
        <w:numId w:val="11"/>
      </w:numPr>
      <w:spacing w:before="240"/>
      <w:outlineLvl w:val="1"/>
    </w:pPr>
    <w:rPr>
      <w:rFonts w:cs="Arial"/>
      <w:bCs/>
      <w:iCs/>
      <w:szCs w:val="28"/>
    </w:rPr>
  </w:style>
  <w:style w:type="paragraph" w:styleId="Heading3">
    <w:name w:val="heading 3"/>
    <w:basedOn w:val="Normal"/>
    <w:qFormat/>
    <w:rsid w:val="00CB38E5"/>
    <w:pPr>
      <w:numPr>
        <w:ilvl w:val="2"/>
        <w:numId w:val="11"/>
      </w:numPr>
      <w:spacing w:before="240"/>
      <w:outlineLvl w:val="2"/>
    </w:pPr>
    <w:rPr>
      <w:rFonts w:cs="Arial"/>
      <w:bCs/>
      <w:szCs w:val="26"/>
    </w:rPr>
  </w:style>
  <w:style w:type="paragraph" w:styleId="Heading4">
    <w:name w:val="heading 4"/>
    <w:basedOn w:val="Normal"/>
    <w:qFormat/>
    <w:rsid w:val="00CB38E5"/>
    <w:pPr>
      <w:numPr>
        <w:ilvl w:val="3"/>
        <w:numId w:val="11"/>
      </w:numPr>
      <w:spacing w:before="240"/>
      <w:outlineLvl w:val="3"/>
    </w:pPr>
    <w:rPr>
      <w:bCs/>
      <w:szCs w:val="28"/>
    </w:rPr>
  </w:style>
  <w:style w:type="paragraph" w:styleId="Heading5">
    <w:name w:val="heading 5"/>
    <w:basedOn w:val="Normal"/>
    <w:qFormat/>
    <w:rsid w:val="00CB38E5"/>
    <w:pPr>
      <w:numPr>
        <w:ilvl w:val="4"/>
        <w:numId w:val="11"/>
      </w:numPr>
      <w:spacing w:before="240"/>
      <w:outlineLvl w:val="4"/>
    </w:pPr>
    <w:rPr>
      <w:bCs/>
      <w:iCs/>
      <w:szCs w:val="26"/>
    </w:rPr>
  </w:style>
  <w:style w:type="paragraph" w:styleId="Heading6">
    <w:name w:val="heading 6"/>
    <w:basedOn w:val="Normal"/>
    <w:qFormat/>
    <w:rsid w:val="00CB38E5"/>
    <w:pPr>
      <w:numPr>
        <w:ilvl w:val="5"/>
        <w:numId w:val="11"/>
      </w:numPr>
      <w:spacing w:before="240"/>
      <w:outlineLvl w:val="5"/>
    </w:pPr>
    <w:rPr>
      <w:bCs/>
      <w:szCs w:val="22"/>
    </w:rPr>
  </w:style>
  <w:style w:type="paragraph" w:styleId="Heading7">
    <w:name w:val="heading 7"/>
    <w:basedOn w:val="Normal"/>
    <w:qFormat/>
    <w:rsid w:val="00CB38E5"/>
    <w:pPr>
      <w:numPr>
        <w:ilvl w:val="6"/>
        <w:numId w:val="11"/>
      </w:numPr>
      <w:spacing w:before="240"/>
      <w:outlineLvl w:val="6"/>
    </w:pPr>
  </w:style>
  <w:style w:type="paragraph" w:styleId="Heading8">
    <w:name w:val="heading 8"/>
    <w:basedOn w:val="Normal"/>
    <w:qFormat/>
    <w:rsid w:val="00CB38E5"/>
    <w:pPr>
      <w:numPr>
        <w:ilvl w:val="7"/>
        <w:numId w:val="11"/>
      </w:numPr>
      <w:spacing w:before="240"/>
      <w:outlineLvl w:val="7"/>
    </w:pPr>
    <w:rPr>
      <w:iCs/>
    </w:rPr>
  </w:style>
  <w:style w:type="paragraph" w:styleId="Heading9">
    <w:name w:val="heading 9"/>
    <w:basedOn w:val="Normal"/>
    <w:qFormat/>
    <w:rsid w:val="00CB38E5"/>
    <w:pPr>
      <w:numPr>
        <w:ilvl w:val="8"/>
        <w:numId w:val="11"/>
      </w:numPr>
      <w:spacing w:before="24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1"/>
    <w:basedOn w:val="Normal"/>
    <w:rsid w:val="006F1401"/>
    <w:pPr>
      <w:spacing w:before="240"/>
    </w:pPr>
  </w:style>
  <w:style w:type="paragraph" w:customStyle="1" w:styleId="Background2">
    <w:name w:val="Background2"/>
    <w:basedOn w:val="Normal"/>
    <w:rsid w:val="006F1401"/>
    <w:pPr>
      <w:spacing w:before="240"/>
    </w:pPr>
  </w:style>
  <w:style w:type="paragraph" w:customStyle="1" w:styleId="BodyText">
    <w:name w:val="BodyText"/>
    <w:basedOn w:val="Normal"/>
    <w:rsid w:val="006F1401"/>
    <w:pPr>
      <w:spacing w:before="240"/>
      <w:ind w:left="709"/>
    </w:pPr>
  </w:style>
  <w:style w:type="paragraph" w:customStyle="1" w:styleId="CourtHeading">
    <w:name w:val="CourtHeading"/>
    <w:basedOn w:val="Normal"/>
    <w:next w:val="Heading1"/>
    <w:rsid w:val="006F1401"/>
    <w:pPr>
      <w:keepNext/>
      <w:spacing w:before="240" w:line="480" w:lineRule="auto"/>
    </w:pPr>
    <w:rPr>
      <w:b/>
      <w:sz w:val="24"/>
    </w:rPr>
  </w:style>
  <w:style w:type="paragraph" w:styleId="Date">
    <w:name w:val="Date"/>
    <w:basedOn w:val="Normal"/>
    <w:next w:val="Normal"/>
    <w:rsid w:val="006F1401"/>
  </w:style>
  <w:style w:type="paragraph" w:customStyle="1" w:styleId="ResolutionHeading">
    <w:name w:val="ResolutionHeading"/>
    <w:basedOn w:val="SubHeading"/>
    <w:next w:val="Heading2"/>
    <w:rsid w:val="006F1401"/>
    <w:pPr>
      <w:numPr>
        <w:numId w:val="3"/>
      </w:numPr>
      <w:tabs>
        <w:tab w:val="clear" w:pos="1789"/>
        <w:tab w:val="left" w:pos="1814"/>
      </w:tabs>
    </w:pPr>
    <w:rPr>
      <w:szCs w:val="20"/>
    </w:rPr>
  </w:style>
  <w:style w:type="paragraph" w:customStyle="1" w:styleId="DocHead">
    <w:name w:val="DocHead"/>
    <w:basedOn w:val="Normal"/>
    <w:next w:val="DocSubHead"/>
    <w:rsid w:val="006F1401"/>
    <w:pPr>
      <w:keepNext/>
    </w:pPr>
    <w:rPr>
      <w:sz w:val="40"/>
    </w:rPr>
  </w:style>
  <w:style w:type="paragraph" w:customStyle="1" w:styleId="DocSubHead">
    <w:name w:val="DocSubHead"/>
    <w:basedOn w:val="Normal"/>
    <w:next w:val="Normal"/>
    <w:rsid w:val="006F1401"/>
    <w:pPr>
      <w:keepNext/>
      <w:spacing w:before="240"/>
    </w:pPr>
    <w:rPr>
      <w:sz w:val="28"/>
    </w:rPr>
  </w:style>
  <w:style w:type="paragraph" w:styleId="EnvelopeAddress">
    <w:name w:val="envelope address"/>
    <w:basedOn w:val="Normal"/>
    <w:rsid w:val="006F1401"/>
    <w:pPr>
      <w:framePr w:w="7920" w:h="1980" w:hRule="exact" w:hSpace="180" w:wrap="auto" w:hAnchor="page" w:xAlign="center" w:yAlign="bottom"/>
      <w:ind w:left="2880"/>
    </w:pPr>
    <w:rPr>
      <w:rFonts w:cs="Arial"/>
      <w:sz w:val="22"/>
    </w:rPr>
  </w:style>
  <w:style w:type="paragraph" w:styleId="Footer">
    <w:name w:val="footer"/>
    <w:basedOn w:val="Normal"/>
    <w:rsid w:val="006F1401"/>
    <w:pPr>
      <w:tabs>
        <w:tab w:val="left" w:pos="1219"/>
        <w:tab w:val="left" w:pos="1588"/>
        <w:tab w:val="right" w:pos="9356"/>
      </w:tabs>
    </w:pPr>
    <w:rPr>
      <w:sz w:val="16"/>
    </w:rPr>
  </w:style>
  <w:style w:type="paragraph" w:styleId="Header">
    <w:name w:val="header"/>
    <w:basedOn w:val="Normal"/>
    <w:link w:val="HeaderChar"/>
    <w:rsid w:val="006F1401"/>
    <w:pPr>
      <w:tabs>
        <w:tab w:val="right" w:pos="9356"/>
      </w:tabs>
    </w:pPr>
    <w:rPr>
      <w:sz w:val="16"/>
    </w:rPr>
  </w:style>
  <w:style w:type="paragraph" w:customStyle="1" w:styleId="LetterBodyText">
    <w:name w:val="LetterBodyText"/>
    <w:basedOn w:val="Normal"/>
    <w:rsid w:val="006F1401"/>
    <w:pPr>
      <w:spacing w:before="240"/>
    </w:pPr>
  </w:style>
  <w:style w:type="paragraph" w:customStyle="1" w:styleId="LetterHeading">
    <w:name w:val="LetterHeading"/>
    <w:basedOn w:val="Normal"/>
    <w:next w:val="LetterBodyText"/>
    <w:rsid w:val="006F1401"/>
    <w:pPr>
      <w:keepNext/>
      <w:spacing w:before="240"/>
    </w:pPr>
    <w:rPr>
      <w:b/>
      <w:sz w:val="24"/>
    </w:rPr>
  </w:style>
  <w:style w:type="paragraph" w:customStyle="1" w:styleId="LetterSubHeading">
    <w:name w:val="LetterSubHeading"/>
    <w:basedOn w:val="Normal"/>
    <w:next w:val="LetterBodyText"/>
    <w:rsid w:val="006F1401"/>
    <w:pPr>
      <w:keepNext/>
      <w:spacing w:before="240"/>
    </w:pPr>
    <w:rPr>
      <w:b/>
    </w:rPr>
  </w:style>
  <w:style w:type="paragraph" w:customStyle="1" w:styleId="Line">
    <w:name w:val="Line"/>
    <w:basedOn w:val="Normal"/>
    <w:next w:val="LetterBodyText"/>
    <w:rsid w:val="006F1401"/>
    <w:pPr>
      <w:pBdr>
        <w:bottom w:val="single" w:sz="4" w:space="1" w:color="auto"/>
      </w:pBdr>
    </w:pPr>
  </w:style>
  <w:style w:type="paragraph" w:customStyle="1" w:styleId="ScheduleStandard1">
    <w:name w:val="Schedule Standard 1"/>
    <w:basedOn w:val="Normal"/>
    <w:rsid w:val="008E0A7B"/>
    <w:pPr>
      <w:numPr>
        <w:numId w:val="8"/>
      </w:numPr>
      <w:spacing w:before="240"/>
    </w:pPr>
  </w:style>
  <w:style w:type="paragraph" w:customStyle="1" w:styleId="ScheduleStandard2">
    <w:name w:val="Schedule Standard 2"/>
    <w:basedOn w:val="Normal"/>
    <w:rsid w:val="008E0A7B"/>
    <w:pPr>
      <w:numPr>
        <w:ilvl w:val="1"/>
        <w:numId w:val="8"/>
      </w:numPr>
      <w:spacing w:before="240"/>
    </w:pPr>
  </w:style>
  <w:style w:type="paragraph" w:customStyle="1" w:styleId="ScheduleName">
    <w:name w:val="ScheduleName"/>
    <w:basedOn w:val="Normal"/>
    <w:next w:val="Line"/>
    <w:rsid w:val="006F1401"/>
    <w:pPr>
      <w:keepNext/>
      <w:spacing w:before="240"/>
    </w:pPr>
  </w:style>
  <w:style w:type="paragraph" w:customStyle="1" w:styleId="Schedule">
    <w:name w:val="Schedule"/>
    <w:basedOn w:val="Normal"/>
    <w:next w:val="ScheduleName"/>
    <w:rsid w:val="006F1401"/>
    <w:pPr>
      <w:keepNext/>
      <w:pageBreakBefore/>
      <w:numPr>
        <w:numId w:val="1"/>
      </w:numPr>
      <w:tabs>
        <w:tab w:val="clear" w:pos="1800"/>
        <w:tab w:val="left" w:pos="1786"/>
      </w:tabs>
    </w:pPr>
    <w:rPr>
      <w:sz w:val="32"/>
    </w:rPr>
  </w:style>
  <w:style w:type="paragraph" w:customStyle="1" w:styleId="SubHeading">
    <w:name w:val="SubHeading"/>
    <w:basedOn w:val="Normal"/>
    <w:next w:val="Heading2"/>
    <w:rsid w:val="006F1401"/>
    <w:pPr>
      <w:keepNext/>
      <w:spacing w:before="240"/>
      <w:ind w:left="709"/>
    </w:pPr>
    <w:rPr>
      <w:b/>
    </w:rPr>
  </w:style>
  <w:style w:type="paragraph" w:styleId="TOC1">
    <w:name w:val="toc 1"/>
    <w:basedOn w:val="Normal"/>
    <w:next w:val="Normal"/>
    <w:semiHidden/>
    <w:rsid w:val="006F1401"/>
    <w:pPr>
      <w:tabs>
        <w:tab w:val="left" w:pos="709"/>
        <w:tab w:val="right" w:leader="hyphen" w:pos="9354"/>
      </w:tabs>
      <w:spacing w:before="240"/>
      <w:ind w:left="709" w:hanging="709"/>
    </w:pPr>
    <w:rPr>
      <w:b/>
      <w:sz w:val="19"/>
    </w:rPr>
  </w:style>
  <w:style w:type="paragraph" w:styleId="TOC2">
    <w:name w:val="toc 2"/>
    <w:basedOn w:val="Normal"/>
    <w:next w:val="Normal"/>
    <w:semiHidden/>
    <w:rsid w:val="006F1401"/>
    <w:pPr>
      <w:tabs>
        <w:tab w:val="right" w:pos="9356"/>
      </w:tabs>
      <w:spacing w:before="120"/>
      <w:ind w:left="1418" w:hanging="709"/>
    </w:pPr>
    <w:rPr>
      <w:noProof/>
      <w:sz w:val="19"/>
      <w:szCs w:val="23"/>
    </w:rPr>
  </w:style>
  <w:style w:type="character" w:customStyle="1" w:styleId="IDDVarMarker">
    <w:name w:val="IDDVarMarker"/>
    <w:basedOn w:val="DefaultParagraphFont"/>
    <w:rsid w:val="006F1401"/>
    <w:rPr>
      <w:rFonts w:ascii="Tahoma" w:hAnsi="Tahoma"/>
      <w:b/>
      <w:i/>
      <w:color w:val="FF0000"/>
      <w:sz w:val="20"/>
      <w:bdr w:val="none" w:sz="0" w:space="0" w:color="auto"/>
      <w:lang w:val="en-AU"/>
    </w:rPr>
  </w:style>
  <w:style w:type="paragraph" w:customStyle="1" w:styleId="IDDCommPara">
    <w:name w:val="IDDCommPara"/>
    <w:basedOn w:val="LetterSubHeading"/>
    <w:next w:val="Normal"/>
    <w:rsid w:val="006F1401"/>
    <w:pPr>
      <w:shd w:val="clear" w:color="auto" w:fill="FFFF00"/>
    </w:pPr>
  </w:style>
  <w:style w:type="character" w:customStyle="1" w:styleId="IDDCommChar">
    <w:name w:val="IDDCommChar"/>
    <w:basedOn w:val="DefaultParagraphFont"/>
    <w:rsid w:val="006F1401"/>
    <w:rPr>
      <w:rFonts w:ascii="Tahoma" w:hAnsi="Tahoma"/>
      <w:b/>
      <w:sz w:val="20"/>
      <w:bdr w:val="none" w:sz="0" w:space="0" w:color="auto"/>
      <w:shd w:val="clear" w:color="auto" w:fill="FFFF00"/>
      <w:lang w:val="en-AU"/>
    </w:rPr>
  </w:style>
  <w:style w:type="paragraph" w:customStyle="1" w:styleId="Commentbox">
    <w:name w:val="Comment box"/>
    <w:basedOn w:val="LetterBodyText"/>
    <w:rsid w:val="006F1401"/>
    <w:pPr>
      <w:keepNext/>
      <w:pBdr>
        <w:top w:val="single" w:sz="4" w:space="1" w:color="auto"/>
        <w:left w:val="single" w:sz="4" w:space="4" w:color="auto"/>
        <w:bottom w:val="single" w:sz="4" w:space="1" w:color="auto"/>
        <w:right w:val="single" w:sz="4" w:space="4" w:color="auto"/>
      </w:pBdr>
      <w:shd w:val="clear" w:color="auto" w:fill="E0E0E0"/>
    </w:pPr>
  </w:style>
  <w:style w:type="paragraph" w:customStyle="1" w:styleId="ScheduleFormal6">
    <w:name w:val="Schedule Formal 6"/>
    <w:basedOn w:val="Normal"/>
    <w:rsid w:val="008E0A7B"/>
    <w:pPr>
      <w:numPr>
        <w:ilvl w:val="5"/>
        <w:numId w:val="7"/>
      </w:numPr>
      <w:spacing w:before="240"/>
    </w:pPr>
  </w:style>
  <w:style w:type="paragraph" w:customStyle="1" w:styleId="CourtBodyText">
    <w:name w:val="CourtBodyText"/>
    <w:basedOn w:val="LetterBodyText"/>
    <w:rsid w:val="006F1401"/>
    <w:pPr>
      <w:spacing w:line="480" w:lineRule="auto"/>
    </w:pPr>
  </w:style>
  <w:style w:type="character" w:styleId="FootnoteReference">
    <w:name w:val="footnote reference"/>
    <w:basedOn w:val="DefaultParagraphFont"/>
    <w:semiHidden/>
    <w:rsid w:val="006F1401"/>
    <w:rPr>
      <w:rFonts w:ascii="Tahoma" w:hAnsi="Tahoma"/>
      <w:sz w:val="18"/>
      <w:vertAlign w:val="superscript"/>
    </w:rPr>
  </w:style>
  <w:style w:type="paragraph" w:customStyle="1" w:styleId="ScheduleFormal1">
    <w:name w:val="Schedule Formal 1"/>
    <w:basedOn w:val="Normal"/>
    <w:next w:val="ScheduleFormal2"/>
    <w:rsid w:val="008E0A7B"/>
    <w:pPr>
      <w:keepNext/>
      <w:numPr>
        <w:numId w:val="7"/>
      </w:numPr>
      <w:spacing w:before="400"/>
    </w:pPr>
    <w:rPr>
      <w:b/>
      <w:sz w:val="24"/>
    </w:rPr>
  </w:style>
  <w:style w:type="paragraph" w:customStyle="1" w:styleId="ScheduleFormal2">
    <w:name w:val="Schedule Formal 2"/>
    <w:basedOn w:val="Normal"/>
    <w:rsid w:val="008E0A7B"/>
    <w:pPr>
      <w:numPr>
        <w:ilvl w:val="1"/>
        <w:numId w:val="7"/>
      </w:numPr>
      <w:spacing w:before="240"/>
    </w:pPr>
  </w:style>
  <w:style w:type="paragraph" w:customStyle="1" w:styleId="ScheduleFormal3">
    <w:name w:val="Schedule Formal 3"/>
    <w:basedOn w:val="Normal"/>
    <w:rsid w:val="008E0A7B"/>
    <w:pPr>
      <w:numPr>
        <w:ilvl w:val="2"/>
        <w:numId w:val="7"/>
      </w:numPr>
      <w:spacing w:before="240"/>
    </w:pPr>
  </w:style>
  <w:style w:type="paragraph" w:customStyle="1" w:styleId="ScheduleFormal4">
    <w:name w:val="Schedule Formal 4"/>
    <w:basedOn w:val="Normal"/>
    <w:rsid w:val="008E0A7B"/>
    <w:pPr>
      <w:numPr>
        <w:ilvl w:val="3"/>
        <w:numId w:val="7"/>
      </w:numPr>
      <w:spacing w:before="240"/>
    </w:pPr>
  </w:style>
  <w:style w:type="paragraph" w:customStyle="1" w:styleId="ScheduleFormal5">
    <w:name w:val="Schedule Formal 5"/>
    <w:basedOn w:val="Normal"/>
    <w:rsid w:val="008E0A7B"/>
    <w:pPr>
      <w:numPr>
        <w:ilvl w:val="4"/>
        <w:numId w:val="7"/>
      </w:numPr>
      <w:spacing w:before="240"/>
    </w:pPr>
  </w:style>
  <w:style w:type="paragraph" w:customStyle="1" w:styleId="Annexure">
    <w:name w:val="Annexure"/>
    <w:basedOn w:val="Normal"/>
    <w:next w:val="AnnexureName"/>
    <w:rsid w:val="00A248A8"/>
    <w:pPr>
      <w:keepNext/>
      <w:pageBreakBefore/>
      <w:numPr>
        <w:numId w:val="4"/>
      </w:numPr>
    </w:pPr>
    <w:rPr>
      <w:sz w:val="32"/>
    </w:rPr>
  </w:style>
  <w:style w:type="paragraph" w:customStyle="1" w:styleId="AnnexureName">
    <w:name w:val="AnnexureName"/>
    <w:basedOn w:val="Normal"/>
    <w:next w:val="Line"/>
    <w:rsid w:val="006F1401"/>
    <w:pPr>
      <w:keepNext/>
      <w:spacing w:before="240"/>
    </w:pPr>
  </w:style>
  <w:style w:type="paragraph" w:customStyle="1" w:styleId="SectionHeading">
    <w:name w:val="SectionHeading"/>
    <w:basedOn w:val="Normal"/>
    <w:next w:val="Heading1"/>
    <w:rsid w:val="006F1401"/>
    <w:pPr>
      <w:keepNext/>
      <w:spacing w:before="400"/>
    </w:pPr>
    <w:rPr>
      <w:sz w:val="32"/>
    </w:rPr>
  </w:style>
  <w:style w:type="paragraph" w:customStyle="1" w:styleId="TableHeading">
    <w:name w:val="TableHeading"/>
    <w:basedOn w:val="Normal"/>
    <w:next w:val="LetterBodyText"/>
    <w:rsid w:val="006F1401"/>
    <w:pPr>
      <w:keepNext/>
      <w:spacing w:before="60" w:after="60"/>
    </w:pPr>
    <w:rPr>
      <w:b/>
      <w:sz w:val="22"/>
    </w:rPr>
  </w:style>
  <w:style w:type="paragraph" w:customStyle="1" w:styleId="TablestyleA-level1">
    <w:name w:val="Table style A - level 1"/>
    <w:basedOn w:val="TablestyleB-level1"/>
    <w:qFormat/>
    <w:rsid w:val="00CB38E5"/>
    <w:pPr>
      <w:tabs>
        <w:tab w:val="clear" w:pos="567"/>
        <w:tab w:val="left" w:pos="159"/>
      </w:tabs>
      <w:ind w:left="176" w:hanging="159"/>
    </w:pPr>
  </w:style>
  <w:style w:type="paragraph" w:customStyle="1" w:styleId="TablestyleB-level1">
    <w:name w:val="Table style B - level 1"/>
    <w:basedOn w:val="Normal"/>
    <w:rsid w:val="00B70FD4"/>
    <w:pPr>
      <w:numPr>
        <w:numId w:val="12"/>
      </w:numPr>
      <w:spacing w:before="60" w:after="60"/>
    </w:pPr>
  </w:style>
  <w:style w:type="paragraph" w:customStyle="1" w:styleId="TablestyleB-level2">
    <w:name w:val="Table style B - level 2"/>
    <w:basedOn w:val="Normal"/>
    <w:rsid w:val="006C11DD"/>
    <w:pPr>
      <w:numPr>
        <w:ilvl w:val="1"/>
        <w:numId w:val="12"/>
      </w:numPr>
      <w:spacing w:before="60" w:after="60"/>
    </w:pPr>
  </w:style>
  <w:style w:type="paragraph" w:customStyle="1" w:styleId="ScheduleStandard3">
    <w:name w:val="Schedule Standard 3"/>
    <w:basedOn w:val="Normal"/>
    <w:rsid w:val="008E0A7B"/>
    <w:pPr>
      <w:numPr>
        <w:ilvl w:val="2"/>
        <w:numId w:val="8"/>
      </w:numPr>
      <w:tabs>
        <w:tab w:val="left" w:pos="1418"/>
      </w:tabs>
      <w:spacing w:before="240"/>
    </w:pPr>
  </w:style>
  <w:style w:type="paragraph" w:customStyle="1" w:styleId="Annexuresingle">
    <w:name w:val="Annexure (single)"/>
    <w:basedOn w:val="Normal"/>
    <w:next w:val="AnnexureName"/>
    <w:rsid w:val="006F1401"/>
    <w:pPr>
      <w:keepNext/>
      <w:pageBreakBefore/>
    </w:pPr>
    <w:rPr>
      <w:sz w:val="32"/>
    </w:rPr>
  </w:style>
  <w:style w:type="paragraph" w:customStyle="1" w:styleId="Schedulesingle">
    <w:name w:val="Schedule (single)"/>
    <w:basedOn w:val="Normal"/>
    <w:next w:val="ScheduleName"/>
    <w:rsid w:val="006F1401"/>
    <w:pPr>
      <w:keepNext/>
      <w:pageBreakBefore/>
    </w:pPr>
    <w:rPr>
      <w:sz w:val="32"/>
    </w:rPr>
  </w:style>
  <w:style w:type="paragraph" w:customStyle="1" w:styleId="ScheduleStandard4">
    <w:name w:val="Schedule Standard 4"/>
    <w:basedOn w:val="Normal"/>
    <w:rsid w:val="008E0A7B"/>
    <w:pPr>
      <w:numPr>
        <w:ilvl w:val="3"/>
        <w:numId w:val="8"/>
      </w:numPr>
      <w:tabs>
        <w:tab w:val="left" w:pos="2126"/>
      </w:tabs>
      <w:spacing w:before="240"/>
    </w:pPr>
  </w:style>
  <w:style w:type="paragraph" w:customStyle="1" w:styleId="ScheduleStandard5">
    <w:name w:val="Schedule Standard 5"/>
    <w:basedOn w:val="Normal"/>
    <w:rsid w:val="008E0A7B"/>
    <w:pPr>
      <w:numPr>
        <w:ilvl w:val="4"/>
        <w:numId w:val="8"/>
      </w:numPr>
      <w:tabs>
        <w:tab w:val="left" w:pos="2835"/>
      </w:tabs>
      <w:spacing w:before="240"/>
    </w:pPr>
  </w:style>
  <w:style w:type="paragraph" w:customStyle="1" w:styleId="TableSubHeading">
    <w:name w:val="TableSubHeading"/>
    <w:basedOn w:val="Normal"/>
    <w:rsid w:val="006F1401"/>
    <w:pPr>
      <w:keepNext/>
      <w:spacing w:before="60" w:after="60"/>
    </w:pPr>
    <w:rPr>
      <w:b/>
    </w:rPr>
  </w:style>
  <w:style w:type="paragraph" w:customStyle="1" w:styleId="TableText">
    <w:name w:val="TableText"/>
    <w:basedOn w:val="Normal"/>
    <w:rsid w:val="006F1401"/>
    <w:pPr>
      <w:spacing w:before="60" w:after="60"/>
    </w:pPr>
  </w:style>
  <w:style w:type="paragraph" w:customStyle="1" w:styleId="TablestyleA-level2">
    <w:name w:val="Table style A - level 2"/>
    <w:basedOn w:val="Normal"/>
    <w:rsid w:val="008766AC"/>
    <w:pPr>
      <w:spacing w:before="60" w:after="60"/>
    </w:pPr>
  </w:style>
  <w:style w:type="paragraph" w:customStyle="1" w:styleId="TablestyleA-level3">
    <w:name w:val="Table style A - level 3"/>
    <w:basedOn w:val="Normal"/>
    <w:rsid w:val="00327AA2"/>
    <w:pPr>
      <w:tabs>
        <w:tab w:val="left" w:pos="1134"/>
      </w:tabs>
      <w:spacing w:before="60" w:after="60"/>
    </w:pPr>
  </w:style>
  <w:style w:type="paragraph" w:customStyle="1" w:styleId="TablestyleB-level3">
    <w:name w:val="Table style B - level 3"/>
    <w:basedOn w:val="Normal"/>
    <w:rsid w:val="00DB0AA1"/>
    <w:pPr>
      <w:numPr>
        <w:ilvl w:val="2"/>
        <w:numId w:val="12"/>
      </w:numPr>
      <w:tabs>
        <w:tab w:val="clear" w:pos="1854"/>
        <w:tab w:val="left" w:pos="1701"/>
      </w:tabs>
      <w:spacing w:before="60" w:after="60"/>
    </w:pPr>
  </w:style>
  <w:style w:type="paragraph" w:styleId="TOC3">
    <w:name w:val="toc 3"/>
    <w:basedOn w:val="Normal"/>
    <w:next w:val="Normal"/>
    <w:semiHidden/>
    <w:rsid w:val="006F1401"/>
    <w:pPr>
      <w:tabs>
        <w:tab w:val="right" w:leader="hyphen" w:pos="9356"/>
      </w:tabs>
      <w:spacing w:before="240"/>
    </w:pPr>
    <w:rPr>
      <w:b/>
      <w:sz w:val="19"/>
    </w:rPr>
  </w:style>
  <w:style w:type="paragraph" w:styleId="TOC4">
    <w:name w:val="toc 4"/>
    <w:basedOn w:val="Normal"/>
    <w:next w:val="Normal"/>
    <w:semiHidden/>
    <w:rsid w:val="006F1401"/>
    <w:pPr>
      <w:tabs>
        <w:tab w:val="right" w:pos="9356"/>
      </w:tabs>
      <w:spacing w:before="60" w:after="60"/>
      <w:ind w:left="709"/>
    </w:pPr>
    <w:rPr>
      <w:b/>
      <w:sz w:val="19"/>
    </w:rPr>
  </w:style>
  <w:style w:type="character" w:styleId="PageNumber">
    <w:name w:val="page number"/>
    <w:basedOn w:val="DefaultParagraphFont"/>
    <w:rsid w:val="006F1401"/>
    <w:rPr>
      <w:rFonts w:ascii="Tahoma" w:hAnsi="Tahoma"/>
      <w:sz w:val="16"/>
    </w:rPr>
  </w:style>
  <w:style w:type="paragraph" w:styleId="FootnoteText">
    <w:name w:val="footnote text"/>
    <w:basedOn w:val="Normal"/>
    <w:semiHidden/>
    <w:rsid w:val="006F1401"/>
    <w:rPr>
      <w:sz w:val="18"/>
      <w:szCs w:val="20"/>
    </w:rPr>
  </w:style>
  <w:style w:type="character" w:styleId="EndnoteReference">
    <w:name w:val="endnote reference"/>
    <w:basedOn w:val="DefaultParagraphFont"/>
    <w:semiHidden/>
    <w:rsid w:val="006F1401"/>
    <w:rPr>
      <w:rFonts w:ascii="Tahoma" w:hAnsi="Tahoma"/>
      <w:sz w:val="18"/>
      <w:vertAlign w:val="superscript"/>
    </w:rPr>
  </w:style>
  <w:style w:type="paragraph" w:styleId="EndnoteText">
    <w:name w:val="endnote text"/>
    <w:basedOn w:val="Normal"/>
    <w:semiHidden/>
    <w:rsid w:val="006F1401"/>
    <w:rPr>
      <w:sz w:val="18"/>
      <w:szCs w:val="20"/>
    </w:rPr>
  </w:style>
  <w:style w:type="paragraph" w:customStyle="1" w:styleId="TablestyleC-level1">
    <w:name w:val="Table style C - level 1"/>
    <w:basedOn w:val="Normal"/>
    <w:rsid w:val="006F1401"/>
    <w:pPr>
      <w:numPr>
        <w:numId w:val="5"/>
      </w:numPr>
      <w:spacing w:before="60" w:after="60"/>
    </w:pPr>
  </w:style>
  <w:style w:type="paragraph" w:customStyle="1" w:styleId="TablestyleC-level2">
    <w:name w:val="Table style C - level 2"/>
    <w:basedOn w:val="Normal"/>
    <w:rsid w:val="006F1401"/>
    <w:pPr>
      <w:numPr>
        <w:ilvl w:val="1"/>
        <w:numId w:val="5"/>
      </w:numPr>
      <w:spacing w:before="60" w:after="60"/>
    </w:pPr>
  </w:style>
  <w:style w:type="paragraph" w:customStyle="1" w:styleId="TablestyleC-level3">
    <w:name w:val="Table style C - level 3"/>
    <w:basedOn w:val="Normal"/>
    <w:rsid w:val="006F1401"/>
    <w:pPr>
      <w:numPr>
        <w:ilvl w:val="2"/>
        <w:numId w:val="5"/>
      </w:numPr>
      <w:spacing w:before="60" w:after="60"/>
    </w:pPr>
  </w:style>
  <w:style w:type="paragraph" w:customStyle="1" w:styleId="TablestyleC-level4">
    <w:name w:val="Table style C - level 4"/>
    <w:basedOn w:val="Normal"/>
    <w:rsid w:val="006F1401"/>
    <w:pPr>
      <w:numPr>
        <w:ilvl w:val="3"/>
        <w:numId w:val="5"/>
      </w:numPr>
      <w:spacing w:before="60" w:after="60"/>
    </w:pPr>
  </w:style>
  <w:style w:type="paragraph" w:customStyle="1" w:styleId="TablestyleD-level1">
    <w:name w:val="Table style D - level 1"/>
    <w:basedOn w:val="Normal"/>
    <w:next w:val="TablestyleD-level2"/>
    <w:rsid w:val="006F1401"/>
    <w:pPr>
      <w:keepNext/>
      <w:numPr>
        <w:numId w:val="6"/>
      </w:numPr>
      <w:spacing w:before="60" w:after="60"/>
    </w:pPr>
    <w:rPr>
      <w:b/>
      <w:sz w:val="22"/>
    </w:rPr>
  </w:style>
  <w:style w:type="paragraph" w:customStyle="1" w:styleId="TablestyleD-level2">
    <w:name w:val="Table style D - level 2"/>
    <w:basedOn w:val="Normal"/>
    <w:next w:val="TableTextindented"/>
    <w:rsid w:val="006F1401"/>
    <w:pPr>
      <w:numPr>
        <w:ilvl w:val="1"/>
        <w:numId w:val="6"/>
      </w:numPr>
      <w:spacing w:before="60" w:after="60"/>
    </w:pPr>
    <w:rPr>
      <w:b/>
    </w:rPr>
  </w:style>
  <w:style w:type="paragraph" w:customStyle="1" w:styleId="TablestyleD-level3">
    <w:name w:val="Table style D - level 3"/>
    <w:basedOn w:val="Normal"/>
    <w:rsid w:val="006F1401"/>
    <w:pPr>
      <w:numPr>
        <w:ilvl w:val="2"/>
        <w:numId w:val="6"/>
      </w:numPr>
      <w:spacing w:before="60" w:after="60"/>
    </w:pPr>
  </w:style>
  <w:style w:type="paragraph" w:customStyle="1" w:styleId="TablestyleD-level4">
    <w:name w:val="Table style D - level 4"/>
    <w:basedOn w:val="Normal"/>
    <w:rsid w:val="006F1401"/>
    <w:pPr>
      <w:numPr>
        <w:ilvl w:val="3"/>
        <w:numId w:val="6"/>
      </w:numPr>
      <w:spacing w:before="60" w:after="60"/>
    </w:pPr>
  </w:style>
  <w:style w:type="paragraph" w:customStyle="1" w:styleId="TableTextindented">
    <w:name w:val="TableText indented"/>
    <w:basedOn w:val="TableText"/>
    <w:rsid w:val="006F1401"/>
    <w:pPr>
      <w:ind w:left="709"/>
    </w:pPr>
  </w:style>
  <w:style w:type="paragraph" w:customStyle="1" w:styleId="Item">
    <w:name w:val="Item"/>
    <w:basedOn w:val="Normal"/>
    <w:next w:val="Normal"/>
    <w:rsid w:val="00093A5D"/>
    <w:pPr>
      <w:keepNext/>
    </w:pPr>
  </w:style>
  <w:style w:type="table" w:styleId="TableGrid">
    <w:name w:val="Table Grid"/>
    <w:basedOn w:val="TableNormal"/>
    <w:rsid w:val="00510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ttachment">
    <w:name w:val="Attachment"/>
    <w:basedOn w:val="Normal"/>
    <w:next w:val="AttachmentName"/>
    <w:rsid w:val="004B1D8E"/>
    <w:pPr>
      <w:numPr>
        <w:numId w:val="10"/>
      </w:numPr>
      <w:ind w:left="0" w:firstLine="0"/>
    </w:pPr>
    <w:rPr>
      <w:sz w:val="32"/>
    </w:rPr>
  </w:style>
  <w:style w:type="paragraph" w:customStyle="1" w:styleId="Attachmentsingle">
    <w:name w:val="Attachment (single)"/>
    <w:basedOn w:val="Annexuresingle"/>
    <w:rsid w:val="00B656D2"/>
  </w:style>
  <w:style w:type="paragraph" w:customStyle="1" w:styleId="AttachmentName">
    <w:name w:val="AttachmentName"/>
    <w:basedOn w:val="Normal"/>
    <w:next w:val="Line"/>
    <w:rsid w:val="00B656D2"/>
    <w:pPr>
      <w:keepNext/>
      <w:spacing w:before="240"/>
    </w:pPr>
  </w:style>
  <w:style w:type="character" w:customStyle="1" w:styleId="HeaderChar">
    <w:name w:val="Header Char"/>
    <w:basedOn w:val="DefaultParagraphFont"/>
    <w:link w:val="Header"/>
    <w:rsid w:val="00E803A2"/>
    <w:rPr>
      <w:rFonts w:ascii="Tahoma" w:hAnsi="Tahoma"/>
      <w:sz w:val="16"/>
      <w:szCs w:val="24"/>
      <w:lang w:eastAsia="en-US"/>
    </w:rPr>
  </w:style>
  <w:style w:type="character" w:styleId="Hyperlink">
    <w:name w:val="Hyperlink"/>
    <w:basedOn w:val="DefaultParagraphFont"/>
    <w:uiPriority w:val="99"/>
    <w:semiHidden/>
    <w:unhideWhenUsed/>
    <w:rsid w:val="006F1F2C"/>
    <w:rPr>
      <w:color w:val="0000FF"/>
      <w:u w:val="single"/>
    </w:rPr>
  </w:style>
  <w:style w:type="paragraph" w:styleId="NormalWeb">
    <w:name w:val="Normal (Web)"/>
    <w:basedOn w:val="Normal"/>
    <w:semiHidden/>
    <w:unhideWhenUsed/>
    <w:rsid w:val="00986F47"/>
    <w:rPr>
      <w:rFonts w:ascii="Times New Roman" w:hAnsi="Times New Roman"/>
      <w:sz w:val="24"/>
    </w:rPr>
  </w:style>
  <w:style w:type="paragraph" w:styleId="ListParagraph">
    <w:name w:val="List Paragraph"/>
    <w:basedOn w:val="Normal"/>
    <w:uiPriority w:val="34"/>
    <w:qFormat/>
    <w:rsid w:val="000B2084"/>
    <w:pPr>
      <w:ind w:left="720"/>
      <w:contextualSpacing/>
    </w:pPr>
  </w:style>
  <w:style w:type="paragraph" w:styleId="NoSpacing">
    <w:name w:val="No Spacing"/>
    <w:uiPriority w:val="1"/>
    <w:qFormat/>
    <w:rsid w:val="00C53D6D"/>
    <w:rPr>
      <w:rFonts w:ascii="Tahoma" w:hAnsi="Tahoma"/>
      <w:szCs w:val="24"/>
      <w:lang w:eastAsia="en-US"/>
    </w:rPr>
  </w:style>
  <w:style w:type="paragraph" w:styleId="BalloonText">
    <w:name w:val="Balloon Text"/>
    <w:basedOn w:val="Normal"/>
    <w:link w:val="BalloonTextChar"/>
    <w:semiHidden/>
    <w:unhideWhenUsed/>
    <w:rsid w:val="00F4182A"/>
    <w:rPr>
      <w:rFonts w:ascii="Segoe UI" w:hAnsi="Segoe UI" w:cs="Segoe UI"/>
      <w:sz w:val="18"/>
      <w:szCs w:val="18"/>
    </w:rPr>
  </w:style>
  <w:style w:type="character" w:customStyle="1" w:styleId="BalloonTextChar">
    <w:name w:val="Balloon Text Char"/>
    <w:basedOn w:val="DefaultParagraphFont"/>
    <w:link w:val="BalloonText"/>
    <w:semiHidden/>
    <w:rsid w:val="00F4182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1579">
      <w:bodyDiv w:val="1"/>
      <w:marLeft w:val="0"/>
      <w:marRight w:val="0"/>
      <w:marTop w:val="0"/>
      <w:marBottom w:val="0"/>
      <w:divBdr>
        <w:top w:val="none" w:sz="0" w:space="0" w:color="auto"/>
        <w:left w:val="none" w:sz="0" w:space="0" w:color="auto"/>
        <w:bottom w:val="none" w:sz="0" w:space="0" w:color="auto"/>
        <w:right w:val="none" w:sz="0" w:space="0" w:color="auto"/>
      </w:divBdr>
    </w:div>
    <w:div w:id="701323815">
      <w:bodyDiv w:val="1"/>
      <w:marLeft w:val="0"/>
      <w:marRight w:val="0"/>
      <w:marTop w:val="0"/>
      <w:marBottom w:val="0"/>
      <w:divBdr>
        <w:top w:val="none" w:sz="0" w:space="0" w:color="auto"/>
        <w:left w:val="none" w:sz="0" w:space="0" w:color="auto"/>
        <w:bottom w:val="none" w:sz="0" w:space="0" w:color="auto"/>
        <w:right w:val="none" w:sz="0" w:space="0" w:color="auto"/>
      </w:divBdr>
    </w:div>
    <w:div w:id="1332759956">
      <w:bodyDiv w:val="1"/>
      <w:marLeft w:val="0"/>
      <w:marRight w:val="0"/>
      <w:marTop w:val="0"/>
      <w:marBottom w:val="0"/>
      <w:divBdr>
        <w:top w:val="none" w:sz="0" w:space="0" w:color="auto"/>
        <w:left w:val="none" w:sz="0" w:space="0" w:color="auto"/>
        <w:bottom w:val="none" w:sz="0" w:space="0" w:color="auto"/>
        <w:right w:val="none" w:sz="0" w:space="0" w:color="auto"/>
      </w:divBdr>
    </w:div>
    <w:div w:id="1460413917">
      <w:bodyDiv w:val="1"/>
      <w:marLeft w:val="0"/>
      <w:marRight w:val="0"/>
      <w:marTop w:val="0"/>
      <w:marBottom w:val="0"/>
      <w:divBdr>
        <w:top w:val="none" w:sz="0" w:space="0" w:color="auto"/>
        <w:left w:val="none" w:sz="0" w:space="0" w:color="auto"/>
        <w:bottom w:val="none" w:sz="0" w:space="0" w:color="auto"/>
        <w:right w:val="none" w:sz="0" w:space="0" w:color="auto"/>
      </w:divBdr>
    </w:div>
    <w:div w:id="18307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Blank.dotx" TargetMode="External"/></Relationships>
</file>

<file path=word/theme/theme1.xml><?xml version="1.0" encoding="utf-8"?>
<a:theme xmlns:a="http://schemas.openxmlformats.org/drawingml/2006/main" name="Office Theme">
  <a:themeElements>
    <a:clrScheme name="McCullough Robertson 3">
      <a:dk1>
        <a:sysClr val="windowText" lastClr="000000"/>
      </a:dk1>
      <a:lt1>
        <a:sysClr val="window" lastClr="FFFFFF"/>
      </a:lt1>
      <a:dk2>
        <a:srgbClr val="8E9300"/>
      </a:dk2>
      <a:lt2>
        <a:srgbClr val="E3E4BF"/>
      </a:lt2>
      <a:accent1>
        <a:srgbClr val="6E7A1F"/>
      </a:accent1>
      <a:accent2>
        <a:srgbClr val="782327"/>
      </a:accent2>
      <a:accent3>
        <a:srgbClr val="B26F16"/>
      </a:accent3>
      <a:accent4>
        <a:srgbClr val="51431F"/>
      </a:accent4>
      <a:accent5>
        <a:srgbClr val="006690"/>
      </a:accent5>
      <a:accent6>
        <a:srgbClr val="8B8D8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2CCACB6708824FBC0BFA22B30F5727" ma:contentTypeVersion="10" ma:contentTypeDescription="Create a new document." ma:contentTypeScope="" ma:versionID="38b250ee5bba18fb20171cdc723f5519">
  <xsd:schema xmlns:xsd="http://www.w3.org/2001/XMLSchema" xmlns:xs="http://www.w3.org/2001/XMLSchema" xmlns:p="http://schemas.microsoft.com/office/2006/metadata/properties" xmlns:ns2="34a64b90-9f1b-455e-a3cf-babf9f7b6cb6" xmlns:ns3="c60216c2-9674-4c64-8529-d3666b206f58" targetNamespace="http://schemas.microsoft.com/office/2006/metadata/properties" ma:root="true" ma:fieldsID="0ba88cba905325c247dd1bb216ad56df" ns2:_="" ns3:_="">
    <xsd:import namespace="34a64b90-9f1b-455e-a3cf-babf9f7b6cb6"/>
    <xsd:import namespace="c60216c2-9674-4c64-8529-d3666b206f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64b90-9f1b-455e-a3cf-babf9f7b6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216c2-9674-4c64-8529-d3666b206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D6142-2D5A-45CC-997D-B523D60A950E}">
  <ds:schemaRefs>
    <ds:schemaRef ds:uri="http://schemas.openxmlformats.org/officeDocument/2006/bibliography"/>
  </ds:schemaRefs>
</ds:datastoreItem>
</file>

<file path=customXml/itemProps2.xml><?xml version="1.0" encoding="utf-8"?>
<ds:datastoreItem xmlns:ds="http://schemas.openxmlformats.org/officeDocument/2006/customXml" ds:itemID="{45C48145-7B47-46FC-8274-BEBED143C586}"/>
</file>

<file path=customXml/itemProps3.xml><?xml version="1.0" encoding="utf-8"?>
<ds:datastoreItem xmlns:ds="http://schemas.openxmlformats.org/officeDocument/2006/customXml" ds:itemID="{BD5E2053-DEB3-44D2-BCC0-8B20473B5B7D}"/>
</file>

<file path=customXml/itemProps4.xml><?xml version="1.0" encoding="utf-8"?>
<ds:datastoreItem xmlns:ds="http://schemas.openxmlformats.org/officeDocument/2006/customXml" ds:itemID="{81E3DF3E-1493-4245-BF33-DB8D128FCEBB}"/>
</file>

<file path=docProps/app.xml><?xml version="1.0" encoding="utf-8"?>
<Properties xmlns="http://schemas.openxmlformats.org/officeDocument/2006/extended-properties" xmlns:vt="http://schemas.openxmlformats.org/officeDocument/2006/docPropsVTypes">
  <Template>Blank</Template>
  <TotalTime>1059</TotalTime>
  <Pages>6</Pages>
  <Words>2930</Words>
  <Characters>15283</Characters>
  <Application>Microsoft Office Word</Application>
  <DocSecurity>0</DocSecurity>
  <Lines>250</Lines>
  <Paragraphs>63</Paragraphs>
  <ScaleCrop>false</ScaleCrop>
  <HeadingPairs>
    <vt:vector size="2" baseType="variant">
      <vt:variant>
        <vt:lpstr>Title</vt:lpstr>
      </vt:variant>
      <vt:variant>
        <vt:i4>1</vt:i4>
      </vt:variant>
    </vt:vector>
  </HeadingPairs>
  <TitlesOfParts>
    <vt:vector size="1" baseType="lpstr">
      <vt:lpstr/>
    </vt:vector>
  </TitlesOfParts>
  <Company>McCullough Robertson</Company>
  <LinksUpToDate>false</LinksUpToDate>
  <CharactersWithSpaces>18150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McCullough Robertson Lawyers</dc:creator>
  <cp:lastModifiedBy>McCullough Robertson Lawyers</cp:lastModifiedBy>
  <cp:revision>283</cp:revision>
  <cp:lastPrinted>2019-10-21T01:35:00Z</cp:lastPrinted>
  <dcterms:created xsi:type="dcterms:W3CDTF">2019-10-14T23:13:00Z</dcterms:created>
  <dcterms:modified xsi:type="dcterms:W3CDTF">2019-10-23T02:08:00Z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UN Day 2019 Lecture Paper</vt:lpwstr>
  </property>
  <property fmtid="{D5CDD505-2E9C-101B-9397-08002B2CF9AE}" pid="3" name="PCDocsNo">
    <vt:lpwstr>55071998v1</vt:lpwstr>
  </property>
  <property fmtid="{D5CDD505-2E9C-101B-9397-08002B2CF9AE}" pid="4" name="ContentTypeId">
    <vt:lpwstr>0x010100D62CCACB6708824FBC0BFA22B30F5727</vt:lpwstr>
  </property>
</Properties>
</file>